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473395" w:rsidRPr="00975B07" w:rsidTr="005F7F7E">
        <w:tc>
          <w:tcPr>
            <w:tcW w:w="2438" w:type="dxa"/>
            <w:shd w:val="clear" w:color="auto" w:fill="auto"/>
          </w:tcPr>
          <w:p w:rsidR="00473395" w:rsidRPr="00975B07" w:rsidRDefault="00473395" w:rsidP="004A6D2F">
            <w:pPr>
              <w:rPr>
                <w:rStyle w:val="Firstpagetablebold"/>
              </w:rPr>
            </w:pPr>
            <w:r w:rsidRPr="00975B07">
              <w:rPr>
                <w:rStyle w:val="Firstpagetablebold"/>
              </w:rPr>
              <w:t>To:</w:t>
            </w:r>
          </w:p>
        </w:tc>
        <w:tc>
          <w:tcPr>
            <w:tcW w:w="6406" w:type="dxa"/>
            <w:shd w:val="clear" w:color="auto" w:fill="auto"/>
          </w:tcPr>
          <w:p w:rsidR="00473395" w:rsidRPr="00F95BC9" w:rsidRDefault="00C1371B" w:rsidP="004A6D2F">
            <w:pPr>
              <w:rPr>
                <w:rStyle w:val="Firstpagetablebold"/>
              </w:rPr>
            </w:pPr>
            <w:r>
              <w:rPr>
                <w:rStyle w:val="Firstpagetablebold"/>
              </w:rPr>
              <w:t>Cabinet and Council</w:t>
            </w:r>
          </w:p>
        </w:tc>
      </w:tr>
      <w:tr w:rsidR="00473395" w:rsidRPr="00975B07" w:rsidTr="005F7F7E">
        <w:tc>
          <w:tcPr>
            <w:tcW w:w="2438" w:type="dxa"/>
            <w:shd w:val="clear" w:color="auto" w:fill="auto"/>
          </w:tcPr>
          <w:p w:rsidR="00473395" w:rsidRPr="00975B07" w:rsidRDefault="00473395" w:rsidP="004A6D2F">
            <w:pPr>
              <w:rPr>
                <w:rStyle w:val="Firstpagetablebold"/>
              </w:rPr>
            </w:pPr>
            <w:r w:rsidRPr="00975B07">
              <w:rPr>
                <w:rStyle w:val="Firstpagetablebold"/>
              </w:rPr>
              <w:t>Date:</w:t>
            </w:r>
          </w:p>
        </w:tc>
        <w:tc>
          <w:tcPr>
            <w:tcW w:w="6406" w:type="dxa"/>
            <w:shd w:val="clear" w:color="auto" w:fill="auto"/>
          </w:tcPr>
          <w:p w:rsidR="00473395" w:rsidRDefault="00473395" w:rsidP="00FA5EA3">
            <w:pPr>
              <w:rPr>
                <w:rStyle w:val="Firstpagetablebold"/>
              </w:rPr>
            </w:pPr>
            <w:r>
              <w:rPr>
                <w:rStyle w:val="Firstpagetablebold"/>
              </w:rPr>
              <w:t>2</w:t>
            </w:r>
            <w:r w:rsidR="00970334">
              <w:rPr>
                <w:rStyle w:val="Firstpagetablebold"/>
              </w:rPr>
              <w:t>9</w:t>
            </w:r>
            <w:r>
              <w:rPr>
                <w:rStyle w:val="Firstpagetablebold"/>
              </w:rPr>
              <w:t xml:space="preserve"> May 2019</w:t>
            </w:r>
            <w:r w:rsidR="00C1371B">
              <w:rPr>
                <w:rStyle w:val="Firstpagetablebold"/>
              </w:rPr>
              <w:t xml:space="preserve"> Cabinet</w:t>
            </w:r>
          </w:p>
          <w:p w:rsidR="00473395" w:rsidRPr="001356F1" w:rsidRDefault="00473395" w:rsidP="0067771E">
            <w:pPr>
              <w:rPr>
                <w:b/>
              </w:rPr>
            </w:pPr>
            <w:r>
              <w:rPr>
                <w:rStyle w:val="Firstpagetablebold"/>
              </w:rPr>
              <w:t>22 July 2019</w:t>
            </w:r>
            <w:r w:rsidR="00C1371B">
              <w:rPr>
                <w:rStyle w:val="Firstpagetablebold"/>
              </w:rPr>
              <w:t xml:space="preserve"> Council</w:t>
            </w:r>
          </w:p>
        </w:tc>
      </w:tr>
      <w:tr w:rsidR="00473395" w:rsidRPr="00975B07" w:rsidTr="005F7F7E">
        <w:tc>
          <w:tcPr>
            <w:tcW w:w="2438" w:type="dxa"/>
            <w:shd w:val="clear" w:color="auto" w:fill="auto"/>
          </w:tcPr>
          <w:p w:rsidR="00473395" w:rsidRPr="00975B07" w:rsidRDefault="00473395" w:rsidP="004A6D2F">
            <w:pPr>
              <w:rPr>
                <w:rStyle w:val="Firstpagetablebold"/>
              </w:rPr>
            </w:pPr>
            <w:r w:rsidRPr="00975B07">
              <w:rPr>
                <w:rStyle w:val="Firstpagetablebold"/>
              </w:rPr>
              <w:t>Report of:</w:t>
            </w:r>
          </w:p>
        </w:tc>
        <w:tc>
          <w:tcPr>
            <w:tcW w:w="6406" w:type="dxa"/>
            <w:shd w:val="clear" w:color="auto" w:fill="auto"/>
          </w:tcPr>
          <w:p w:rsidR="00473395" w:rsidRPr="001356F1" w:rsidRDefault="00473395" w:rsidP="0067771E">
            <w:pPr>
              <w:rPr>
                <w:rStyle w:val="Firstpagetablebold"/>
              </w:rPr>
            </w:pPr>
            <w:r>
              <w:rPr>
                <w:rStyle w:val="Firstpagetablebold"/>
              </w:rPr>
              <w:t>Head of Housing services</w:t>
            </w:r>
          </w:p>
        </w:tc>
      </w:tr>
      <w:tr w:rsidR="00473395" w:rsidRPr="00975B07" w:rsidTr="005F7F7E">
        <w:tc>
          <w:tcPr>
            <w:tcW w:w="2438" w:type="dxa"/>
            <w:shd w:val="clear" w:color="auto" w:fill="auto"/>
          </w:tcPr>
          <w:p w:rsidR="00473395" w:rsidRPr="00975B07" w:rsidRDefault="00473395" w:rsidP="004A6D2F">
            <w:pPr>
              <w:rPr>
                <w:rStyle w:val="Firstpagetablebold"/>
              </w:rPr>
            </w:pPr>
            <w:r w:rsidRPr="00975B07">
              <w:rPr>
                <w:rStyle w:val="Firstpagetablebold"/>
              </w:rPr>
              <w:t xml:space="preserve">Title of Report: </w:t>
            </w:r>
          </w:p>
        </w:tc>
        <w:tc>
          <w:tcPr>
            <w:tcW w:w="6406" w:type="dxa"/>
            <w:shd w:val="clear" w:color="auto" w:fill="auto"/>
          </w:tcPr>
          <w:p w:rsidR="00473395" w:rsidRPr="001356F1" w:rsidRDefault="00473395" w:rsidP="0085281A">
            <w:pPr>
              <w:rPr>
                <w:rStyle w:val="Firstpagetablebold"/>
              </w:rPr>
            </w:pPr>
            <w:r>
              <w:rPr>
                <w:rStyle w:val="Firstpagetablebold"/>
              </w:rPr>
              <w:t>The future strategic direction for the Council’s group of housing companies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85281A" w:rsidP="00A06AD1">
            <w:r>
              <w:t xml:space="preserve">To </w:t>
            </w:r>
            <w:r w:rsidRPr="001F67B9">
              <w:rPr>
                <w:rStyle w:val="Emphasis"/>
                <w:i w:val="0"/>
              </w:rPr>
              <w:t>consider</w:t>
            </w:r>
            <w:r w:rsidR="001F67B9">
              <w:rPr>
                <w:rStyle w:val="Emphasis"/>
                <w:i w:val="0"/>
              </w:rPr>
              <w:t xml:space="preserve"> and a</w:t>
            </w:r>
            <w:r w:rsidR="00C22D21">
              <w:rPr>
                <w:rStyle w:val="Emphasis"/>
                <w:i w:val="0"/>
              </w:rPr>
              <w:t>pprove</w:t>
            </w:r>
            <w:r w:rsidR="00920E97">
              <w:rPr>
                <w:rStyle w:val="Emphasis"/>
                <w:i w:val="0"/>
              </w:rPr>
              <w:t xml:space="preserve"> change</w:t>
            </w:r>
            <w:r w:rsidR="00C22D21">
              <w:rPr>
                <w:rStyle w:val="Emphasis"/>
                <w:i w:val="0"/>
              </w:rPr>
              <w:t>s</w:t>
            </w:r>
            <w:r w:rsidR="00920E97">
              <w:rPr>
                <w:rStyle w:val="Emphasis"/>
                <w:i w:val="0"/>
              </w:rPr>
              <w:t xml:space="preserve"> to the</w:t>
            </w:r>
            <w:r w:rsidR="001F67B9">
              <w:rPr>
                <w:rStyle w:val="Emphasis"/>
                <w:i w:val="0"/>
              </w:rPr>
              <w:t xml:space="preserve"> </w:t>
            </w:r>
            <w:r w:rsidR="00C22D21">
              <w:rPr>
                <w:rStyle w:val="Emphasis"/>
                <w:i w:val="0"/>
              </w:rPr>
              <w:t xml:space="preserve">arrangements between </w:t>
            </w:r>
            <w:r w:rsidR="001F67B9">
              <w:rPr>
                <w:rStyle w:val="Emphasis"/>
                <w:i w:val="0"/>
              </w:rPr>
              <w:t>the Council’s group of Housing companies</w:t>
            </w:r>
            <w:r w:rsidR="00920E97">
              <w:rPr>
                <w:rStyle w:val="Emphasis"/>
                <w:i w:val="0"/>
              </w:rPr>
              <w:t xml:space="preserve"> and</w:t>
            </w:r>
            <w:r w:rsidR="00C22D21">
              <w:rPr>
                <w:rStyle w:val="Emphasis"/>
                <w:i w:val="0"/>
              </w:rPr>
              <w:t xml:space="preserve"> the </w:t>
            </w:r>
            <w:r w:rsidR="005A4232">
              <w:rPr>
                <w:rStyle w:val="Emphasis"/>
                <w:i w:val="0"/>
              </w:rPr>
              <w:t xml:space="preserve">Council’s Housing </w:t>
            </w:r>
            <w:r w:rsidR="00A06AD1">
              <w:rPr>
                <w:rStyle w:val="Emphasis"/>
                <w:i w:val="0"/>
              </w:rPr>
              <w:t>R</w:t>
            </w:r>
            <w:r w:rsidR="005A4232">
              <w:rPr>
                <w:rStyle w:val="Emphasis"/>
                <w:i w:val="0"/>
              </w:rPr>
              <w:t>evenue Account</w:t>
            </w:r>
            <w:r w:rsidR="00A06AD1">
              <w:rPr>
                <w:rStyle w:val="Emphasis"/>
                <w:i w:val="0"/>
              </w:rPr>
              <w:t xml:space="preserve"> </w:t>
            </w:r>
            <w:r w:rsidR="00C22D21">
              <w:rPr>
                <w:rStyle w:val="Emphasis"/>
                <w:i w:val="0"/>
              </w:rPr>
              <w:t>for the delivery of affordable housing in response to recent government policy changes and</w:t>
            </w:r>
            <w:r w:rsidR="00920E97">
              <w:rPr>
                <w:rStyle w:val="Emphasis"/>
                <w:i w:val="0"/>
              </w:rPr>
              <w:t xml:space="preserve"> to agree to a review of </w:t>
            </w:r>
            <w:r w:rsidR="00C22D21">
              <w:rPr>
                <w:rStyle w:val="Emphasis"/>
                <w:i w:val="0"/>
              </w:rPr>
              <w:t>future O</w:t>
            </w:r>
            <w:r w:rsidR="00A06AD1">
              <w:rPr>
                <w:rStyle w:val="Emphasis"/>
                <w:i w:val="0"/>
              </w:rPr>
              <w:t xml:space="preserve">xford </w:t>
            </w:r>
            <w:r w:rsidR="00C22D21">
              <w:rPr>
                <w:rStyle w:val="Emphasis"/>
                <w:i w:val="0"/>
              </w:rPr>
              <w:t>C</w:t>
            </w:r>
            <w:r w:rsidR="00A06AD1">
              <w:rPr>
                <w:rStyle w:val="Emphasis"/>
                <w:i w:val="0"/>
              </w:rPr>
              <w:t xml:space="preserve">ity </w:t>
            </w:r>
            <w:r w:rsidR="00C22D21">
              <w:rPr>
                <w:rStyle w:val="Emphasis"/>
                <w:i w:val="0"/>
              </w:rPr>
              <w:t>H</w:t>
            </w:r>
            <w:r w:rsidR="00A06AD1">
              <w:rPr>
                <w:rStyle w:val="Emphasis"/>
                <w:i w:val="0"/>
              </w:rPr>
              <w:t xml:space="preserve">ousing </w:t>
            </w:r>
            <w:r w:rsidR="00C22D21">
              <w:rPr>
                <w:rStyle w:val="Emphasis"/>
                <w:i w:val="0"/>
              </w:rPr>
              <w:t>L</w:t>
            </w:r>
            <w:r w:rsidR="00A06AD1">
              <w:rPr>
                <w:rStyle w:val="Emphasis"/>
                <w:i w:val="0"/>
              </w:rPr>
              <w:t>imited (OCHL)</w:t>
            </w:r>
            <w:r w:rsidR="00C22D21">
              <w:rPr>
                <w:rStyle w:val="Emphasis"/>
                <w:i w:val="0"/>
              </w:rPr>
              <w:t xml:space="preserve"> development with a view to expanding activity and accelerating affordable housing delivery.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1F67B9">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C1371B">
            <w:pPr>
              <w:rPr>
                <w:rStyle w:val="Firstpagetablebold"/>
              </w:rPr>
            </w:pPr>
            <w:r>
              <w:rPr>
                <w:rStyle w:val="Firstpagetablebold"/>
              </w:rPr>
              <w:t xml:space="preserve">Cabinet </w:t>
            </w:r>
            <w:r w:rsidR="00D5547E">
              <w:rPr>
                <w:rStyle w:val="Firstpagetablebold"/>
              </w:rPr>
              <w:t>Member</w:t>
            </w:r>
            <w:r>
              <w:rPr>
                <w:rStyle w:val="Firstpagetablebold"/>
              </w:rPr>
              <w:t>s</w:t>
            </w:r>
            <w:r w:rsidR="00D5547E">
              <w:rPr>
                <w:rStyle w:val="Firstpagetablebold"/>
              </w:rPr>
              <w:t>:</w:t>
            </w:r>
          </w:p>
        </w:tc>
        <w:tc>
          <w:tcPr>
            <w:tcW w:w="6407" w:type="dxa"/>
            <w:tcBorders>
              <w:top w:val="nil"/>
              <w:left w:val="nil"/>
              <w:bottom w:val="nil"/>
              <w:right w:val="single" w:sz="8" w:space="0" w:color="000000"/>
            </w:tcBorders>
            <w:hideMark/>
          </w:tcPr>
          <w:p w:rsidR="00D5547E" w:rsidRDefault="001F67B9" w:rsidP="001F67B9">
            <w:r>
              <w:t xml:space="preserve">Housing </w:t>
            </w:r>
            <w:r w:rsidR="00C1371B">
              <w:t xml:space="preserve"> </w:t>
            </w:r>
            <w:r>
              <w:t>( Building Better Homes )</w:t>
            </w:r>
            <w:r w:rsidR="00C1371B">
              <w:t xml:space="preserve"> and </w:t>
            </w:r>
          </w:p>
          <w:p w:rsidR="000A38F8" w:rsidRPr="001356F1" w:rsidRDefault="000A38F8" w:rsidP="001F67B9">
            <w:r>
              <w:t>Executive Member  for Finance and Asset Management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1F67B9" w:rsidP="005F7F7E">
            <w:r>
              <w:t>Meeting Housing Needs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F67B9" w:rsidP="001F67B9">
            <w:r>
              <w:t>Housing and Homelessness Strategy</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970334" w:rsidP="00C1371B">
            <w:r>
              <w:rPr>
                <w:rStyle w:val="Firstpagetablebold"/>
              </w:rPr>
              <w:t>Recommendation</w:t>
            </w:r>
            <w:r w:rsidR="005F7F7E">
              <w:rPr>
                <w:rStyle w:val="Firstpagetablebold"/>
              </w:rPr>
              <w:t>s:</w:t>
            </w:r>
            <w:r w:rsidR="00C1371B">
              <w:rPr>
                <w:rStyle w:val="Firstpagetablebold"/>
              </w:rPr>
              <w:t xml:space="preserve"> </w:t>
            </w:r>
            <w:r w:rsidR="00C1371B">
              <w:rPr>
                <w:rStyle w:val="Firstpagetablebold"/>
                <w:b w:val="0"/>
              </w:rPr>
              <w:t xml:space="preserve">That </w:t>
            </w:r>
            <w:r w:rsidR="005F7F7E" w:rsidRPr="00970334">
              <w:rPr>
                <w:rStyle w:val="Firstpagetablebold"/>
                <w:b w:val="0"/>
              </w:rPr>
              <w:t xml:space="preserve"> </w:t>
            </w:r>
            <w:r w:rsidR="00C1371B">
              <w:rPr>
                <w:rStyle w:val="Firstpagetablebold"/>
                <w:b w:val="0"/>
              </w:rPr>
              <w:t xml:space="preserve">Cabinet </w:t>
            </w:r>
            <w:r w:rsidR="005F7F7E" w:rsidRPr="00970334">
              <w:rPr>
                <w:rStyle w:val="Firstpagetablebold"/>
                <w:b w:val="0"/>
              </w:rPr>
              <w:t>resolves to:</w:t>
            </w:r>
          </w:p>
        </w:tc>
      </w:tr>
      <w:tr w:rsidR="0030208D" w:rsidRPr="00975B07" w:rsidTr="00970334">
        <w:trPr>
          <w:trHeight w:val="283"/>
        </w:trPr>
        <w:tc>
          <w:tcPr>
            <w:tcW w:w="426" w:type="dxa"/>
            <w:tcBorders>
              <w:top w:val="single" w:sz="8" w:space="0" w:color="000000"/>
              <w:left w:val="single" w:sz="8" w:space="0" w:color="000000"/>
              <w:bottom w:val="nil"/>
              <w:right w:val="nil"/>
            </w:tcBorders>
          </w:tcPr>
          <w:p w:rsidR="00ED0000" w:rsidRDefault="00ED0000" w:rsidP="004A6D2F">
            <w:bookmarkStart w:id="0" w:name="_GoBack" w:colFirst="1" w:colLast="1"/>
          </w:p>
          <w:p w:rsidR="0030208D" w:rsidRPr="00975B07" w:rsidRDefault="0030208D" w:rsidP="00C1371B"/>
        </w:tc>
        <w:tc>
          <w:tcPr>
            <w:tcW w:w="8419" w:type="dxa"/>
            <w:gridSpan w:val="2"/>
            <w:tcBorders>
              <w:top w:val="single" w:sz="8" w:space="0" w:color="000000"/>
              <w:left w:val="nil"/>
              <w:bottom w:val="nil"/>
              <w:right w:val="single" w:sz="8" w:space="0" w:color="000000"/>
            </w:tcBorders>
            <w:shd w:val="clear" w:color="auto" w:fill="auto"/>
          </w:tcPr>
          <w:p w:rsidR="0030208D" w:rsidRDefault="0030208D" w:rsidP="00C1371B">
            <w:pPr>
              <w:pStyle w:val="ListParagraph"/>
              <w:ind w:left="720"/>
            </w:pPr>
          </w:p>
          <w:p w:rsidR="00ED0000" w:rsidRPr="001356F1" w:rsidRDefault="001A12B9" w:rsidP="00C1371B">
            <w:pPr>
              <w:pStyle w:val="ListParagraph"/>
              <w:numPr>
                <w:ilvl w:val="0"/>
                <w:numId w:val="48"/>
              </w:numPr>
            </w:pPr>
            <w:r w:rsidRPr="00C1371B">
              <w:rPr>
                <w:b/>
              </w:rPr>
              <w:t xml:space="preserve">Agree </w:t>
            </w:r>
            <w:r>
              <w:t>that</w:t>
            </w:r>
            <w:r w:rsidR="004822A0">
              <w:t xml:space="preserve"> the Oxford City Housing Limited group of companies (</w:t>
            </w:r>
            <w:r>
              <w:t>OCHL</w:t>
            </w:r>
            <w:r w:rsidR="004822A0">
              <w:t>)</w:t>
            </w:r>
            <w:r>
              <w:t xml:space="preserve"> continues with the current development</w:t>
            </w:r>
            <w:r w:rsidR="005B60D5">
              <w:t xml:space="preserve"> and acquisition programmes as detailed </w:t>
            </w:r>
            <w:r w:rsidR="000A38F8">
              <w:t>in</w:t>
            </w:r>
            <w:r w:rsidR="005B60D5">
              <w:t xml:space="preserve"> para</w:t>
            </w:r>
            <w:r w:rsidR="000A38F8">
              <w:t>graphs</w:t>
            </w:r>
            <w:r w:rsidR="005B60D5">
              <w:t xml:space="preserve"> 9</w:t>
            </w:r>
            <w:r w:rsidR="000A38F8">
              <w:t>,12 and</w:t>
            </w:r>
            <w:r w:rsidR="005B60D5">
              <w:t xml:space="preserve"> 14</w:t>
            </w:r>
            <w:r w:rsidR="00A06AD1">
              <w:t xml:space="preserve"> of this report</w:t>
            </w:r>
            <w:r w:rsidR="00970334">
              <w:t>;</w:t>
            </w:r>
          </w:p>
        </w:tc>
      </w:tr>
      <w:tr w:rsidR="0030208D" w:rsidRPr="00975B07" w:rsidTr="00C1371B">
        <w:trPr>
          <w:trHeight w:val="283"/>
        </w:trPr>
        <w:tc>
          <w:tcPr>
            <w:tcW w:w="426" w:type="dxa"/>
            <w:tcBorders>
              <w:top w:val="nil"/>
              <w:left w:val="single" w:sz="8" w:space="0" w:color="000000"/>
              <w:bottom w:val="single" w:sz="4" w:space="0" w:color="auto"/>
              <w:right w:val="nil"/>
            </w:tcBorders>
          </w:tcPr>
          <w:p w:rsidR="0030208D" w:rsidRPr="00975B07" w:rsidRDefault="0030208D" w:rsidP="004A6D2F"/>
        </w:tc>
        <w:tc>
          <w:tcPr>
            <w:tcW w:w="8419" w:type="dxa"/>
            <w:gridSpan w:val="2"/>
            <w:tcBorders>
              <w:top w:val="nil"/>
              <w:left w:val="nil"/>
              <w:bottom w:val="single" w:sz="4" w:space="0" w:color="auto"/>
              <w:right w:val="single" w:sz="8" w:space="0" w:color="000000"/>
            </w:tcBorders>
            <w:shd w:val="clear" w:color="auto" w:fill="auto"/>
          </w:tcPr>
          <w:p w:rsidR="0030208D" w:rsidRDefault="005B60D5" w:rsidP="00C1371B">
            <w:pPr>
              <w:pStyle w:val="ListParagraph"/>
              <w:numPr>
                <w:ilvl w:val="0"/>
                <w:numId w:val="48"/>
              </w:numPr>
            </w:pPr>
            <w:r w:rsidRPr="00C1371B">
              <w:rPr>
                <w:b/>
              </w:rPr>
              <w:t>Agree</w:t>
            </w:r>
            <w:r>
              <w:t xml:space="preserve"> that the Council</w:t>
            </w:r>
            <w:r w:rsidR="004822A0">
              <w:t>’s H</w:t>
            </w:r>
            <w:r w:rsidR="00A06AD1">
              <w:t xml:space="preserve">ousing </w:t>
            </w:r>
            <w:r w:rsidR="004822A0">
              <w:t>R</w:t>
            </w:r>
            <w:r w:rsidR="00A06AD1">
              <w:t xml:space="preserve">evenue </w:t>
            </w:r>
            <w:r w:rsidR="004822A0">
              <w:t>A</w:t>
            </w:r>
            <w:r w:rsidR="00A06AD1">
              <w:t>ccount</w:t>
            </w:r>
            <w:r w:rsidR="004822A0">
              <w:t xml:space="preserve"> </w:t>
            </w:r>
            <w:r w:rsidR="00A06AD1">
              <w:t>from this date onwards</w:t>
            </w:r>
            <w:r>
              <w:t xml:space="preserve"> purchases</w:t>
            </w:r>
            <w:r w:rsidR="004822A0">
              <w:t xml:space="preserve"> and manages</w:t>
            </w:r>
            <w:r>
              <w:t xml:space="preserve"> the social rented and shared ownership units (with the exception of the Barton Park units</w:t>
            </w:r>
            <w:r w:rsidR="000A38F8">
              <w:t>)</w:t>
            </w:r>
            <w:r w:rsidR="00970334">
              <w:t>;</w:t>
            </w:r>
          </w:p>
          <w:p w:rsidR="00970334" w:rsidRPr="001356F1" w:rsidRDefault="00970334" w:rsidP="00A06AD1"/>
        </w:tc>
      </w:tr>
      <w:tr w:rsidR="00232F5B" w:rsidRPr="00975B07" w:rsidTr="00C1371B">
        <w:trPr>
          <w:trHeight w:val="283"/>
        </w:trPr>
        <w:tc>
          <w:tcPr>
            <w:tcW w:w="426" w:type="dxa"/>
            <w:tcBorders>
              <w:top w:val="single" w:sz="4" w:space="0" w:color="auto"/>
              <w:left w:val="single" w:sz="8" w:space="0" w:color="000000"/>
              <w:bottom w:val="single" w:sz="4" w:space="0" w:color="auto"/>
              <w:right w:val="nil"/>
            </w:tcBorders>
          </w:tcPr>
          <w:p w:rsidR="005B60D5" w:rsidRDefault="005B60D5" w:rsidP="004A6D2F"/>
          <w:p w:rsidR="005B60D5" w:rsidRPr="005B60D5" w:rsidRDefault="005B60D5" w:rsidP="005B60D5"/>
          <w:p w:rsidR="000A38F8" w:rsidRDefault="000A38F8" w:rsidP="005B60D5"/>
          <w:p w:rsidR="00473395" w:rsidRDefault="00473395" w:rsidP="005B60D5"/>
          <w:p w:rsidR="005B60D5" w:rsidRDefault="005B60D5" w:rsidP="005B60D5"/>
          <w:p w:rsidR="00D85F35" w:rsidRDefault="00D85F35" w:rsidP="005B60D5"/>
          <w:p w:rsidR="00343FC0" w:rsidRDefault="00343FC0" w:rsidP="00473395"/>
          <w:p w:rsidR="00343FC0" w:rsidRDefault="00343FC0" w:rsidP="00473395"/>
          <w:p w:rsidR="000A38F8" w:rsidRDefault="000A38F8" w:rsidP="00473395"/>
          <w:p w:rsidR="00343FC0" w:rsidRDefault="000A38F8" w:rsidP="00473395">
            <w:r>
              <w:t>.</w:t>
            </w:r>
          </w:p>
          <w:p w:rsidR="00343FC0" w:rsidRDefault="00343FC0" w:rsidP="00473395"/>
          <w:p w:rsidR="00343FC0" w:rsidRDefault="00343FC0" w:rsidP="00473395"/>
          <w:p w:rsidR="00343FC0" w:rsidRDefault="00343FC0" w:rsidP="00473395"/>
          <w:p w:rsidR="00343FC0" w:rsidRDefault="00343FC0" w:rsidP="00473395"/>
          <w:p w:rsidR="000A38F8" w:rsidRDefault="000A38F8" w:rsidP="00473395"/>
          <w:p w:rsidR="0030208D" w:rsidRDefault="0030208D" w:rsidP="005B60D5"/>
          <w:p w:rsidR="00D12F8D" w:rsidRPr="005B60D5" w:rsidRDefault="00D12F8D" w:rsidP="005B60D5"/>
        </w:tc>
        <w:tc>
          <w:tcPr>
            <w:tcW w:w="8419" w:type="dxa"/>
            <w:gridSpan w:val="2"/>
            <w:tcBorders>
              <w:top w:val="single" w:sz="4" w:space="0" w:color="auto"/>
              <w:left w:val="nil"/>
              <w:bottom w:val="single" w:sz="4" w:space="0" w:color="auto"/>
              <w:right w:val="single" w:sz="8" w:space="0" w:color="000000"/>
            </w:tcBorders>
            <w:shd w:val="clear" w:color="auto" w:fill="auto"/>
          </w:tcPr>
          <w:p w:rsidR="00AD42A0" w:rsidRDefault="00A8260F" w:rsidP="00C1371B">
            <w:pPr>
              <w:pStyle w:val="ListParagraph"/>
              <w:numPr>
                <w:ilvl w:val="0"/>
                <w:numId w:val="48"/>
              </w:numPr>
            </w:pPr>
            <w:r w:rsidRPr="00C1371B">
              <w:rPr>
                <w:b/>
              </w:rPr>
              <w:lastRenderedPageBreak/>
              <w:t xml:space="preserve">Recommend to </w:t>
            </w:r>
            <w:r w:rsidR="00AD42A0" w:rsidRPr="00C1371B">
              <w:rPr>
                <w:b/>
              </w:rPr>
              <w:t xml:space="preserve"> Council</w:t>
            </w:r>
            <w:r w:rsidR="00AD42A0">
              <w:t xml:space="preserve"> to increase the HRA capital programme by £45.</w:t>
            </w:r>
            <w:r w:rsidR="006A60A1">
              <w:t>3</w:t>
            </w:r>
            <w:r w:rsidR="00AD42A0">
              <w:t>03m so that adequate additional budgetary provision is made available for</w:t>
            </w:r>
            <w:r w:rsidR="00970334">
              <w:t xml:space="preserve"> the acquisitions to take place</w:t>
            </w:r>
            <w:r w:rsidR="00AD42A0">
              <w:t xml:space="preserve"> ( see Appendix 1)</w:t>
            </w:r>
            <w:r w:rsidR="00970334">
              <w:t>;</w:t>
            </w:r>
          </w:p>
          <w:p w:rsidR="00AD42A0" w:rsidRDefault="00A8260F" w:rsidP="00C1371B">
            <w:pPr>
              <w:pStyle w:val="ListParagraph"/>
              <w:numPr>
                <w:ilvl w:val="0"/>
                <w:numId w:val="48"/>
              </w:numPr>
            </w:pPr>
            <w:r w:rsidRPr="00C1371B">
              <w:rPr>
                <w:b/>
              </w:rPr>
              <w:t xml:space="preserve">Recommend to </w:t>
            </w:r>
            <w:r w:rsidR="00AD42A0" w:rsidRPr="00C1371B">
              <w:rPr>
                <w:b/>
              </w:rPr>
              <w:t>Council</w:t>
            </w:r>
            <w:r w:rsidR="00AD42A0">
              <w:t xml:space="preserve"> to approve a revised HRA budget and Business Plan that incorporates the new acquired dwellings that </w:t>
            </w:r>
            <w:r w:rsidR="00AD42A0">
              <w:lastRenderedPageBreak/>
              <w:t xml:space="preserve">impacts on rental income, maintenance spend, interest payments, debt redemption activity </w:t>
            </w:r>
            <w:r w:rsidR="00A06AD1">
              <w:t xml:space="preserve">and other </w:t>
            </w:r>
            <w:r w:rsidR="000A38F8">
              <w:t xml:space="preserve">matters as </w:t>
            </w:r>
            <w:r w:rsidR="00A06AD1">
              <w:t>set out in Appendix 2</w:t>
            </w:r>
            <w:r w:rsidR="00970334">
              <w:t>;</w:t>
            </w:r>
          </w:p>
          <w:p w:rsidR="00473395" w:rsidRDefault="00A8260F" w:rsidP="00C1371B">
            <w:pPr>
              <w:pStyle w:val="ListParagraph"/>
              <w:numPr>
                <w:ilvl w:val="0"/>
                <w:numId w:val="48"/>
              </w:numPr>
            </w:pPr>
            <w:r w:rsidRPr="00C1371B">
              <w:rPr>
                <w:b/>
              </w:rPr>
              <w:t xml:space="preserve">Recommend to </w:t>
            </w:r>
            <w:r w:rsidR="00AD42A0" w:rsidRPr="00C1371B">
              <w:rPr>
                <w:b/>
              </w:rPr>
              <w:t xml:space="preserve"> Council</w:t>
            </w:r>
            <w:r w:rsidR="00AD42A0">
              <w:t xml:space="preserve"> </w:t>
            </w:r>
            <w:r>
              <w:t xml:space="preserve">to </w:t>
            </w:r>
            <w:r w:rsidR="00AD42A0">
              <w:t xml:space="preserve">approve the </w:t>
            </w:r>
            <w:r>
              <w:t>re</w:t>
            </w:r>
            <w:r w:rsidR="00C1371B">
              <w:t>-</w:t>
            </w:r>
            <w:r>
              <w:t xml:space="preserve">phasing of the loans from the </w:t>
            </w:r>
            <w:r w:rsidR="00AD42A0">
              <w:t xml:space="preserve"> G</w:t>
            </w:r>
            <w:r w:rsidR="002C29CA">
              <w:t xml:space="preserve">eneral </w:t>
            </w:r>
            <w:r w:rsidR="00AD42A0">
              <w:t>F</w:t>
            </w:r>
            <w:r w:rsidR="002C29CA">
              <w:t>und</w:t>
            </w:r>
            <w:r w:rsidR="00AD42A0">
              <w:t xml:space="preserve"> Capital Programme in relation to the borrowing activity of OCHL over the MTFP period</w:t>
            </w:r>
            <w:r w:rsidR="000C23DF">
              <w:t xml:space="preserve"> </w:t>
            </w:r>
            <w:r w:rsidR="000C23DF" w:rsidRPr="000C23DF">
              <w:t>2019/20 to 2022/23</w:t>
            </w:r>
            <w:r>
              <w:t>(see appendix 1)</w:t>
            </w:r>
          </w:p>
          <w:p w:rsidR="00AD42A0" w:rsidRPr="00C1371B" w:rsidRDefault="00AD42A0" w:rsidP="00C1371B">
            <w:pPr>
              <w:pStyle w:val="ListParagraph"/>
              <w:numPr>
                <w:ilvl w:val="0"/>
                <w:numId w:val="48"/>
              </w:numPr>
              <w:rPr>
                <w:color w:val="auto"/>
              </w:rPr>
            </w:pPr>
            <w:r w:rsidRPr="00C1371B">
              <w:rPr>
                <w:b/>
                <w:color w:val="auto"/>
              </w:rPr>
              <w:t xml:space="preserve">Agree </w:t>
            </w:r>
            <w:r w:rsidRPr="00C1371B">
              <w:rPr>
                <w:color w:val="auto"/>
              </w:rPr>
              <w:t xml:space="preserve">that delegated authority is given to the Assistant Chief Executive in consultation with the Head of Finance and the Head of Law and Governance to approve and facilitate the agreed purchase by the HRA </w:t>
            </w:r>
            <w:proofErr w:type="gramStart"/>
            <w:r w:rsidRPr="00C1371B">
              <w:rPr>
                <w:color w:val="auto"/>
              </w:rPr>
              <w:t xml:space="preserve">of </w:t>
            </w:r>
            <w:r w:rsidR="00EA008E" w:rsidRPr="00C1371B">
              <w:rPr>
                <w:color w:val="auto"/>
              </w:rPr>
              <w:t xml:space="preserve"> all</w:t>
            </w:r>
            <w:proofErr w:type="gramEnd"/>
            <w:r w:rsidR="00EA008E" w:rsidRPr="00C1371B">
              <w:rPr>
                <w:color w:val="auto"/>
              </w:rPr>
              <w:t xml:space="preserve"> affordable  housing units at the OHCL development sites.</w:t>
            </w:r>
          </w:p>
          <w:p w:rsidR="00D12F8D" w:rsidRDefault="00B54844" w:rsidP="00C1371B">
            <w:pPr>
              <w:pStyle w:val="ListParagraph"/>
              <w:numPr>
                <w:ilvl w:val="0"/>
                <w:numId w:val="48"/>
              </w:numPr>
            </w:pPr>
            <w:r w:rsidRPr="00C1371B">
              <w:rPr>
                <w:b/>
              </w:rPr>
              <w:t xml:space="preserve">Authorise </w:t>
            </w:r>
            <w:r>
              <w:t xml:space="preserve">Phase 2 of </w:t>
            </w:r>
            <w:r w:rsidR="00490D93">
              <w:t xml:space="preserve"> </w:t>
            </w:r>
            <w:r w:rsidR="00A514BC">
              <w:t xml:space="preserve">the </w:t>
            </w:r>
            <w:r w:rsidR="00490D93">
              <w:t xml:space="preserve"> review </w:t>
            </w:r>
            <w:r w:rsidR="005144F3">
              <w:t>of the role and future</w:t>
            </w:r>
            <w:r w:rsidR="00A514BC">
              <w:t xml:space="preserve"> activity of OCHL and the detail of the review </w:t>
            </w:r>
            <w:r w:rsidR="00490D93">
              <w:t xml:space="preserve">as </w:t>
            </w:r>
            <w:r w:rsidR="00A514BC">
              <w:t xml:space="preserve">set out in </w:t>
            </w:r>
            <w:r w:rsidR="00490D93">
              <w:t xml:space="preserve"> para</w:t>
            </w:r>
            <w:r w:rsidR="00A514BC">
              <w:t>graph</w:t>
            </w:r>
            <w:r w:rsidR="00D85F35">
              <w:t xml:space="preserve"> </w:t>
            </w:r>
            <w:r w:rsidR="00130CFC">
              <w:t>17</w:t>
            </w:r>
            <w:r w:rsidR="00A514BC">
              <w:t xml:space="preserve"> of the report</w:t>
            </w:r>
            <w:r w:rsidR="00970334">
              <w:t>; and</w:t>
            </w:r>
          </w:p>
          <w:p w:rsidR="00D12F8D" w:rsidRPr="001356F1" w:rsidRDefault="000C1BCA" w:rsidP="00C1371B">
            <w:pPr>
              <w:pStyle w:val="ListParagraph"/>
              <w:numPr>
                <w:ilvl w:val="0"/>
                <w:numId w:val="48"/>
              </w:numPr>
            </w:pPr>
            <w:r w:rsidRPr="00C1371B">
              <w:rPr>
                <w:b/>
              </w:rPr>
              <w:t xml:space="preserve">Grant </w:t>
            </w:r>
            <w:r w:rsidR="00D12F8D" w:rsidRPr="00C1371B">
              <w:rPr>
                <w:b/>
              </w:rPr>
              <w:t xml:space="preserve">delegated </w:t>
            </w:r>
            <w:r w:rsidR="00B11586" w:rsidRPr="00C1371B">
              <w:rPr>
                <w:b/>
              </w:rPr>
              <w:t>authority</w:t>
            </w:r>
            <w:r w:rsidR="00B11586">
              <w:t xml:space="preserve"> to</w:t>
            </w:r>
            <w:r w:rsidR="00D12F8D">
              <w:t xml:space="preserve"> the Assistant Chief Executive in consultation with the Head of Finance and Head of Law and Governance to approve  the sale of sites </w:t>
            </w:r>
            <w:r w:rsidR="00B82FDD">
              <w:t xml:space="preserve">as set out </w:t>
            </w:r>
            <w:r w:rsidR="00D12F8D">
              <w:t xml:space="preserve">in the OCHL business plan to OCHL providing that such sales comply with the mechanism set out in </w:t>
            </w:r>
            <w:r w:rsidR="005C3220">
              <w:t>paragraph 31 of</w:t>
            </w:r>
            <w:r w:rsidR="003D3278">
              <w:t xml:space="preserve"> </w:t>
            </w:r>
            <w:r w:rsidR="00D12F8D">
              <w:t>this report and s123 of the Local Government Act 1972</w:t>
            </w:r>
            <w:r>
              <w:t xml:space="preserve">, and are made on the basis that following development all affordable housing units at the sites would be purchased back by the </w:t>
            </w:r>
            <w:r w:rsidR="00655FCD">
              <w:t xml:space="preserve">Council through the </w:t>
            </w:r>
            <w:r>
              <w:t>H</w:t>
            </w:r>
            <w:r w:rsidR="00655FCD">
              <w:t xml:space="preserve">ousing </w:t>
            </w:r>
            <w:r>
              <w:t>R</w:t>
            </w:r>
            <w:r w:rsidR="00655FCD">
              <w:t xml:space="preserve">evenue </w:t>
            </w:r>
            <w:r>
              <w:t>A</w:t>
            </w:r>
            <w:r w:rsidR="00655FCD">
              <w:t>ccount</w:t>
            </w:r>
            <w:r>
              <w:t xml:space="preserve">. </w:t>
            </w:r>
          </w:p>
        </w:tc>
      </w:tr>
      <w:bookmarkEnd w:id="0"/>
      <w:tr w:rsidR="00232F5B" w:rsidRPr="00975B07" w:rsidTr="00C1371B">
        <w:trPr>
          <w:trHeight w:val="283"/>
        </w:trPr>
        <w:tc>
          <w:tcPr>
            <w:tcW w:w="426" w:type="dxa"/>
            <w:tcBorders>
              <w:top w:val="single" w:sz="4" w:space="0" w:color="auto"/>
              <w:left w:val="single" w:sz="8" w:space="0" w:color="000000"/>
              <w:bottom w:val="nil"/>
              <w:right w:val="nil"/>
            </w:tcBorders>
          </w:tcPr>
          <w:p w:rsidR="0030208D" w:rsidRPr="00975B07" w:rsidRDefault="00046D2B" w:rsidP="004A6D2F">
            <w:r w:rsidRPr="00975B07">
              <w:lastRenderedPageBreak/>
              <w:t>.</w:t>
            </w:r>
          </w:p>
        </w:tc>
        <w:tc>
          <w:tcPr>
            <w:tcW w:w="8419" w:type="dxa"/>
            <w:gridSpan w:val="2"/>
            <w:tcBorders>
              <w:top w:val="single" w:sz="4" w:space="0" w:color="auto"/>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253DDC" w:rsidRDefault="00253DDC" w:rsidP="00970334">
            <w:pPr>
              <w:spacing w:after="0"/>
            </w:pPr>
          </w:p>
          <w:p w:rsidR="00ED5860" w:rsidRDefault="00ED5860" w:rsidP="00970334">
            <w:pPr>
              <w:spacing w:after="0"/>
            </w:pPr>
            <w:r w:rsidRPr="00975B07">
              <w:t>Appendi</w:t>
            </w:r>
            <w:r w:rsidR="005A4232">
              <w:t>x</w:t>
            </w:r>
            <w:r w:rsidRPr="00975B07">
              <w:t xml:space="preserve"> 1</w:t>
            </w:r>
          </w:p>
          <w:p w:rsidR="00253DDC" w:rsidRDefault="00253DDC" w:rsidP="00970334">
            <w:pPr>
              <w:spacing w:after="0"/>
            </w:pPr>
          </w:p>
          <w:p w:rsidR="002C29CA" w:rsidRDefault="002C29CA" w:rsidP="00970334">
            <w:pPr>
              <w:spacing w:after="0"/>
            </w:pPr>
            <w:r>
              <w:t>Appendix 2</w:t>
            </w:r>
          </w:p>
          <w:p w:rsidR="00253DDC" w:rsidRDefault="00253DDC" w:rsidP="00970334">
            <w:pPr>
              <w:spacing w:after="0"/>
            </w:pPr>
          </w:p>
          <w:p w:rsidR="00F736F3" w:rsidRDefault="00F736F3" w:rsidP="00970334">
            <w:pPr>
              <w:spacing w:after="0"/>
            </w:pPr>
            <w:r>
              <w:t>Appendix</w:t>
            </w:r>
            <w:r w:rsidR="0003380C">
              <w:t xml:space="preserve"> </w:t>
            </w:r>
            <w:r>
              <w:t xml:space="preserve"> </w:t>
            </w:r>
            <w:r w:rsidR="007D49DD">
              <w:t>3</w:t>
            </w:r>
          </w:p>
          <w:p w:rsidR="000656A3" w:rsidRPr="00975B07" w:rsidRDefault="000656A3" w:rsidP="00970334">
            <w:pPr>
              <w:spacing w:after="0"/>
            </w:pPr>
          </w:p>
        </w:tc>
        <w:tc>
          <w:tcPr>
            <w:tcW w:w="6406" w:type="dxa"/>
            <w:tcBorders>
              <w:top w:val="single" w:sz="8" w:space="0" w:color="000000"/>
              <w:left w:val="nil"/>
              <w:bottom w:val="nil"/>
              <w:right w:val="single" w:sz="8" w:space="0" w:color="000000"/>
            </w:tcBorders>
          </w:tcPr>
          <w:p w:rsidR="007D49DD" w:rsidRDefault="007D49DD" w:rsidP="00970334">
            <w:pPr>
              <w:spacing w:after="0"/>
            </w:pPr>
          </w:p>
          <w:p w:rsidR="0019088D" w:rsidRDefault="0019088D" w:rsidP="00970334">
            <w:pPr>
              <w:spacing w:after="0"/>
            </w:pPr>
            <w:r>
              <w:t>Revised HRA</w:t>
            </w:r>
            <w:r w:rsidR="007D49DD">
              <w:t xml:space="preserve"> </w:t>
            </w:r>
            <w:r w:rsidR="005A4232">
              <w:t>and</w:t>
            </w:r>
            <w:r w:rsidR="00704D06">
              <w:t xml:space="preserve"> General Fund </w:t>
            </w:r>
            <w:r w:rsidR="007D49DD">
              <w:t>Capital Programme</w:t>
            </w:r>
          </w:p>
          <w:p w:rsidR="00253DDC" w:rsidRDefault="00253DDC" w:rsidP="00970334">
            <w:pPr>
              <w:spacing w:after="0"/>
            </w:pPr>
          </w:p>
          <w:p w:rsidR="002C29CA" w:rsidRDefault="00100A48" w:rsidP="00970334">
            <w:pPr>
              <w:spacing w:after="0"/>
            </w:pPr>
            <w:r>
              <w:t>Revised H</w:t>
            </w:r>
            <w:r w:rsidR="005A4232">
              <w:t>ousing Revenue Account</w:t>
            </w:r>
          </w:p>
          <w:p w:rsidR="00253DDC" w:rsidRDefault="00253DDC" w:rsidP="00970334">
            <w:pPr>
              <w:spacing w:after="0"/>
            </w:pPr>
          </w:p>
          <w:p w:rsidR="000656A3" w:rsidRPr="001356F1" w:rsidRDefault="00F736F3" w:rsidP="00970334">
            <w:pPr>
              <w:spacing w:after="0"/>
            </w:pPr>
            <w:r>
              <w:t>Trowers Legal Advice</w:t>
            </w:r>
            <w:r w:rsidR="0003380C">
              <w:t xml:space="preserve"> -</w:t>
            </w:r>
            <w:r>
              <w:t xml:space="preserve"> </w:t>
            </w:r>
            <w:r w:rsidRPr="000C4856">
              <w:rPr>
                <w:b/>
              </w:rPr>
              <w:t xml:space="preserve">Exempt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F77C1D" w:rsidRDefault="00F77C1D"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7755D0" w:rsidRDefault="001F67B9" w:rsidP="00056C7C">
      <w:pPr>
        <w:pStyle w:val="ListParagraph"/>
        <w:numPr>
          <w:ilvl w:val="0"/>
          <w:numId w:val="14"/>
        </w:numPr>
      </w:pPr>
      <w:r>
        <w:t xml:space="preserve">The Council’s City Executive Board </w:t>
      </w:r>
      <w:r w:rsidR="00D85F35">
        <w:t xml:space="preserve">on the </w:t>
      </w:r>
      <w:r>
        <w:t>17</w:t>
      </w:r>
      <w:r w:rsidR="00D85F35" w:rsidRPr="008B069D">
        <w:rPr>
          <w:vertAlign w:val="superscript"/>
        </w:rPr>
        <w:t>th</w:t>
      </w:r>
      <w:r w:rsidR="00D85F35">
        <w:t xml:space="preserve"> March 2016</w:t>
      </w:r>
      <w:r>
        <w:t xml:space="preserve"> agreed to set up </w:t>
      </w:r>
      <w:r w:rsidR="0019088D">
        <w:t>a housing</w:t>
      </w:r>
      <w:r w:rsidR="00D85F35">
        <w:t xml:space="preserve"> company to be wholly owned by the Council</w:t>
      </w:r>
      <w:r>
        <w:t xml:space="preserve"> with a primary aim of building and owning social housing. This was in response to changes in Government policy namel</w:t>
      </w:r>
      <w:r w:rsidR="00857945">
        <w:t>y the introduction of four years of rent reductions and a high value asset levy, which taken together severely restricted the Council’s abi</w:t>
      </w:r>
      <w:r w:rsidR="00C16922">
        <w:t>lity to continue with its</w:t>
      </w:r>
      <w:r w:rsidR="00857945">
        <w:t xml:space="preserve"> ambitious council house building programme. This followed on from a successful programme of new build delivering 113 units </w:t>
      </w:r>
      <w:r w:rsidR="00083D34">
        <w:lastRenderedPageBreak/>
        <w:t>funded mainly</w:t>
      </w:r>
      <w:r w:rsidR="00857945">
        <w:t xml:space="preserve"> from the Council’s Housing Revenue Account</w:t>
      </w:r>
      <w:r w:rsidR="00056C7C">
        <w:t xml:space="preserve"> (HRA),</w:t>
      </w:r>
      <w:r w:rsidR="00857945">
        <w:t xml:space="preserve"> together with grant from the Homes and Communities Agency</w:t>
      </w:r>
      <w:r w:rsidR="007755D0">
        <w:t>’s</w:t>
      </w:r>
      <w:r w:rsidR="00857945">
        <w:t xml:space="preserve"> (now </w:t>
      </w:r>
      <w:r w:rsidR="00056C7C">
        <w:t>H</w:t>
      </w:r>
      <w:r w:rsidR="00857945">
        <w:t xml:space="preserve">omes England) </w:t>
      </w:r>
      <w:r w:rsidR="007755D0">
        <w:t>Affordable Housing Programme.</w:t>
      </w:r>
      <w:r w:rsidR="008B069D">
        <w:t xml:space="preserve"> The housing company group set up by the Council comprises three companies, a holding company, an investment company and a development company.</w:t>
      </w:r>
    </w:p>
    <w:p w:rsidR="007755D0" w:rsidRDefault="007755D0" w:rsidP="00056C7C">
      <w:pPr>
        <w:pStyle w:val="ListParagraph"/>
        <w:numPr>
          <w:ilvl w:val="0"/>
          <w:numId w:val="14"/>
        </w:numPr>
      </w:pPr>
      <w:r>
        <w:t xml:space="preserve">The City Executive Board and </w:t>
      </w:r>
      <w:r w:rsidR="00C16922">
        <w:t xml:space="preserve">the </w:t>
      </w:r>
      <w:r>
        <w:t xml:space="preserve">OCHL Shareholder </w:t>
      </w:r>
      <w:r w:rsidR="00A51709">
        <w:t>have</w:t>
      </w:r>
      <w:r>
        <w:t xml:space="preserve"> approved a </w:t>
      </w:r>
      <w:r w:rsidR="0019088D">
        <w:t>development and</w:t>
      </w:r>
      <w:r w:rsidR="009041B2">
        <w:t xml:space="preserve"> acquisition </w:t>
      </w:r>
      <w:r>
        <w:t xml:space="preserve">programme and business plan to deliver </w:t>
      </w:r>
      <w:r w:rsidR="009041B2">
        <w:t>572</w:t>
      </w:r>
      <w:r>
        <w:t xml:space="preserve"> new homes over the period 2018</w:t>
      </w:r>
      <w:r w:rsidR="008B069D">
        <w:t xml:space="preserve"> to</w:t>
      </w:r>
      <w:r>
        <w:t xml:space="preserve"> 2026. This includes the purchase from the Council by OCHL of the social rented homes being developed at Barton Park</w:t>
      </w:r>
      <w:r w:rsidR="0019088D">
        <w:t xml:space="preserve"> </w:t>
      </w:r>
      <w:r w:rsidR="00EC38B4">
        <w:t>by Barton Oxford LLP</w:t>
      </w:r>
      <w:r w:rsidR="00936B25">
        <w:t xml:space="preserve"> (BOLLP)</w:t>
      </w:r>
      <w:r w:rsidR="00EC38B4">
        <w:t>.</w:t>
      </w:r>
    </w:p>
    <w:p w:rsidR="009041B2" w:rsidRDefault="00A51709" w:rsidP="00056C7C">
      <w:pPr>
        <w:pStyle w:val="ListParagraph"/>
        <w:numPr>
          <w:ilvl w:val="0"/>
          <w:numId w:val="14"/>
        </w:numPr>
        <w:rPr>
          <w:rFonts w:cs="Arial"/>
        </w:rPr>
      </w:pPr>
      <w:r>
        <w:t xml:space="preserve">The table below summarises progress with the development sites and so far 22 of the 95 social rented units in the first phase of Barton Park have been handed </w:t>
      </w:r>
      <w:r w:rsidRPr="00A51709">
        <w:rPr>
          <w:rFonts w:cs="Arial"/>
        </w:rPr>
        <w:t>over.</w:t>
      </w:r>
    </w:p>
    <w:p w:rsidR="00A51709" w:rsidRPr="00A51709" w:rsidRDefault="00A51709" w:rsidP="00A51709">
      <w:pPr>
        <w:pStyle w:val="ListParagraph"/>
        <w:ind w:left="644"/>
        <w:rPr>
          <w:rFonts w:cs="Arial"/>
        </w:rPr>
      </w:pPr>
    </w:p>
    <w:tbl>
      <w:tblPr>
        <w:tblStyle w:val="TableGrid"/>
        <w:tblW w:w="0" w:type="auto"/>
        <w:tblInd w:w="720" w:type="dxa"/>
        <w:tblLook w:val="04A0" w:firstRow="1" w:lastRow="0" w:firstColumn="1" w:lastColumn="0" w:noHBand="0" w:noVBand="1"/>
      </w:tblPr>
      <w:tblGrid>
        <w:gridCol w:w="2205"/>
        <w:gridCol w:w="2182"/>
        <w:gridCol w:w="2215"/>
        <w:gridCol w:w="2192"/>
      </w:tblGrid>
      <w:tr w:rsidR="00CC1A53" w:rsidRPr="00A51709" w:rsidTr="009041B2">
        <w:tc>
          <w:tcPr>
            <w:tcW w:w="2322" w:type="dxa"/>
          </w:tcPr>
          <w:p w:rsidR="009041B2" w:rsidRPr="00A51709" w:rsidRDefault="009041B2" w:rsidP="00A51709">
            <w:pPr>
              <w:pStyle w:val="ListParagraph"/>
              <w:rPr>
                <w:rFonts w:cs="Arial"/>
              </w:rPr>
            </w:pPr>
            <w:r w:rsidRPr="00A51709">
              <w:rPr>
                <w:rFonts w:cs="Arial"/>
              </w:rPr>
              <w:t>Scheme</w:t>
            </w:r>
          </w:p>
        </w:tc>
        <w:tc>
          <w:tcPr>
            <w:tcW w:w="2322" w:type="dxa"/>
          </w:tcPr>
          <w:p w:rsidR="009041B2" w:rsidRPr="00A51709" w:rsidRDefault="009041B2" w:rsidP="00A51709">
            <w:pPr>
              <w:pStyle w:val="ListParagraph"/>
              <w:rPr>
                <w:rFonts w:cs="Arial"/>
              </w:rPr>
            </w:pPr>
            <w:r w:rsidRPr="00A51709">
              <w:rPr>
                <w:rFonts w:cs="Arial"/>
              </w:rPr>
              <w:t>Number of homes</w:t>
            </w:r>
          </w:p>
        </w:tc>
        <w:tc>
          <w:tcPr>
            <w:tcW w:w="2322" w:type="dxa"/>
          </w:tcPr>
          <w:p w:rsidR="009041B2" w:rsidRPr="00A51709" w:rsidRDefault="009041B2" w:rsidP="00A51709">
            <w:pPr>
              <w:pStyle w:val="ListParagraph"/>
              <w:rPr>
                <w:rFonts w:cs="Arial"/>
              </w:rPr>
            </w:pPr>
            <w:r w:rsidRPr="00A51709">
              <w:rPr>
                <w:rFonts w:cs="Arial"/>
              </w:rPr>
              <w:t>Status</w:t>
            </w:r>
          </w:p>
        </w:tc>
        <w:tc>
          <w:tcPr>
            <w:tcW w:w="2322" w:type="dxa"/>
          </w:tcPr>
          <w:p w:rsidR="009041B2" w:rsidRPr="00A51709" w:rsidRDefault="009041B2" w:rsidP="00A51709">
            <w:pPr>
              <w:pStyle w:val="ListParagraph"/>
              <w:rPr>
                <w:rFonts w:cs="Arial"/>
              </w:rPr>
            </w:pPr>
            <w:r w:rsidRPr="00A51709">
              <w:rPr>
                <w:rFonts w:cs="Arial"/>
              </w:rPr>
              <w:t>Estimated Completion</w:t>
            </w:r>
          </w:p>
        </w:tc>
      </w:tr>
      <w:tr w:rsidR="00CC1A53" w:rsidRPr="00A51709" w:rsidTr="009041B2">
        <w:tc>
          <w:tcPr>
            <w:tcW w:w="2322" w:type="dxa"/>
          </w:tcPr>
          <w:p w:rsidR="009041B2" w:rsidRPr="00A51709" w:rsidRDefault="009041B2" w:rsidP="00A51709">
            <w:pPr>
              <w:pStyle w:val="ListParagraph"/>
              <w:rPr>
                <w:rFonts w:cs="Arial"/>
              </w:rPr>
            </w:pPr>
            <w:r w:rsidRPr="00A51709">
              <w:rPr>
                <w:rFonts w:cs="Arial"/>
              </w:rPr>
              <w:t>Rose Hill</w:t>
            </w:r>
          </w:p>
        </w:tc>
        <w:tc>
          <w:tcPr>
            <w:tcW w:w="2322" w:type="dxa"/>
          </w:tcPr>
          <w:p w:rsidR="009041B2" w:rsidRPr="00A51709" w:rsidRDefault="009041B2" w:rsidP="00A51709">
            <w:pPr>
              <w:pStyle w:val="ListParagraph"/>
              <w:rPr>
                <w:rFonts w:cs="Arial"/>
              </w:rPr>
            </w:pPr>
            <w:r w:rsidRPr="00A51709">
              <w:rPr>
                <w:rFonts w:cs="Arial"/>
              </w:rPr>
              <w:t>43 (all affordable)</w:t>
            </w:r>
          </w:p>
        </w:tc>
        <w:tc>
          <w:tcPr>
            <w:tcW w:w="2322" w:type="dxa"/>
          </w:tcPr>
          <w:p w:rsidR="009041B2" w:rsidRPr="00A51709" w:rsidRDefault="009041B2" w:rsidP="00A51709">
            <w:pPr>
              <w:pStyle w:val="ListParagraph"/>
              <w:rPr>
                <w:rFonts w:cs="Arial"/>
              </w:rPr>
            </w:pPr>
            <w:r w:rsidRPr="00A51709">
              <w:rPr>
                <w:rFonts w:cs="Arial"/>
              </w:rPr>
              <w:t>Planning permission obtained – build contract signed with Feltham</w:t>
            </w:r>
          </w:p>
        </w:tc>
        <w:tc>
          <w:tcPr>
            <w:tcW w:w="2322" w:type="dxa"/>
          </w:tcPr>
          <w:p w:rsidR="009041B2" w:rsidRPr="00A51709" w:rsidRDefault="00E36CE3" w:rsidP="00A51709">
            <w:pPr>
              <w:pStyle w:val="ListParagraph"/>
              <w:rPr>
                <w:rFonts w:cs="Arial"/>
              </w:rPr>
            </w:pPr>
            <w:r w:rsidRPr="00A51709">
              <w:rPr>
                <w:rFonts w:cs="Arial"/>
              </w:rPr>
              <w:t>Nov</w:t>
            </w:r>
            <w:r w:rsidR="00CC1A53" w:rsidRPr="00A51709">
              <w:rPr>
                <w:rFonts w:cs="Arial"/>
              </w:rPr>
              <w:t xml:space="preserve"> 2020</w:t>
            </w:r>
          </w:p>
        </w:tc>
      </w:tr>
      <w:tr w:rsidR="00CC1A53" w:rsidRPr="00A51709" w:rsidTr="009041B2">
        <w:tc>
          <w:tcPr>
            <w:tcW w:w="2322" w:type="dxa"/>
          </w:tcPr>
          <w:p w:rsidR="009041B2" w:rsidRPr="00A51709" w:rsidRDefault="009041B2" w:rsidP="00A51709">
            <w:pPr>
              <w:pStyle w:val="ListParagraph"/>
              <w:rPr>
                <w:rFonts w:cs="Arial"/>
              </w:rPr>
            </w:pPr>
            <w:r w:rsidRPr="00A51709">
              <w:rPr>
                <w:rFonts w:cs="Arial"/>
              </w:rPr>
              <w:t>Warren Crescent</w:t>
            </w:r>
          </w:p>
        </w:tc>
        <w:tc>
          <w:tcPr>
            <w:tcW w:w="2322" w:type="dxa"/>
          </w:tcPr>
          <w:p w:rsidR="009041B2" w:rsidRPr="00A51709" w:rsidRDefault="009041B2" w:rsidP="00A51709">
            <w:pPr>
              <w:pStyle w:val="ListParagraph"/>
              <w:rPr>
                <w:rFonts w:cs="Arial"/>
              </w:rPr>
            </w:pPr>
            <w:r w:rsidRPr="00A51709">
              <w:rPr>
                <w:rFonts w:cs="Arial"/>
              </w:rPr>
              <w:t>10 (all affordable)</w:t>
            </w:r>
          </w:p>
        </w:tc>
        <w:tc>
          <w:tcPr>
            <w:tcW w:w="2322" w:type="dxa"/>
          </w:tcPr>
          <w:p w:rsidR="009041B2" w:rsidRPr="00A51709" w:rsidRDefault="009041B2" w:rsidP="00A51709">
            <w:pPr>
              <w:pStyle w:val="ListParagraph"/>
              <w:rPr>
                <w:rFonts w:cs="Arial"/>
              </w:rPr>
            </w:pPr>
            <w:r w:rsidRPr="00A51709">
              <w:rPr>
                <w:rFonts w:cs="Arial"/>
              </w:rPr>
              <w:t>Planning permission obtained – build contract signed with Leighfield</w:t>
            </w:r>
          </w:p>
        </w:tc>
        <w:tc>
          <w:tcPr>
            <w:tcW w:w="2322" w:type="dxa"/>
          </w:tcPr>
          <w:p w:rsidR="009041B2" w:rsidRPr="00A51709" w:rsidRDefault="00F8047B" w:rsidP="00A51709">
            <w:pPr>
              <w:pStyle w:val="ListParagraph"/>
              <w:rPr>
                <w:rFonts w:cs="Arial"/>
              </w:rPr>
            </w:pPr>
            <w:r w:rsidRPr="00A51709">
              <w:rPr>
                <w:rFonts w:cs="Arial"/>
              </w:rPr>
              <w:t>July</w:t>
            </w:r>
            <w:r w:rsidR="00CC1A53" w:rsidRPr="00A51709">
              <w:rPr>
                <w:rFonts w:cs="Arial"/>
              </w:rPr>
              <w:t xml:space="preserve"> 2020</w:t>
            </w:r>
          </w:p>
        </w:tc>
      </w:tr>
      <w:tr w:rsidR="00CC1A53" w:rsidRPr="00A51709" w:rsidTr="009041B2">
        <w:tc>
          <w:tcPr>
            <w:tcW w:w="2322" w:type="dxa"/>
          </w:tcPr>
          <w:p w:rsidR="009041B2" w:rsidRPr="00A51709" w:rsidRDefault="009041B2" w:rsidP="00A51709">
            <w:pPr>
              <w:pStyle w:val="ListParagraph"/>
              <w:rPr>
                <w:rFonts w:cs="Arial"/>
              </w:rPr>
            </w:pPr>
            <w:r w:rsidRPr="00A51709">
              <w:rPr>
                <w:rFonts w:cs="Arial"/>
              </w:rPr>
              <w:t xml:space="preserve">Elsfield Hall </w:t>
            </w:r>
            <w:r w:rsidR="00A51709">
              <w:rPr>
                <w:rFonts w:cs="Arial"/>
              </w:rPr>
              <w:t>and</w:t>
            </w:r>
            <w:r w:rsidRPr="00A51709">
              <w:rPr>
                <w:rFonts w:cs="Arial"/>
              </w:rPr>
              <w:t xml:space="preserve"> Cumberlege Close</w:t>
            </w:r>
          </w:p>
        </w:tc>
        <w:tc>
          <w:tcPr>
            <w:tcW w:w="2322" w:type="dxa"/>
          </w:tcPr>
          <w:p w:rsidR="009041B2" w:rsidRPr="00A51709" w:rsidRDefault="009041B2" w:rsidP="00A51709">
            <w:pPr>
              <w:pStyle w:val="ListParagraph"/>
              <w:rPr>
                <w:rFonts w:cs="Arial"/>
              </w:rPr>
            </w:pPr>
            <w:r w:rsidRPr="00A51709">
              <w:rPr>
                <w:rFonts w:cs="Arial"/>
              </w:rPr>
              <w:t>35 (18 affordable)</w:t>
            </w:r>
          </w:p>
        </w:tc>
        <w:tc>
          <w:tcPr>
            <w:tcW w:w="2322" w:type="dxa"/>
          </w:tcPr>
          <w:p w:rsidR="009041B2" w:rsidRPr="00A51709" w:rsidRDefault="009041B2" w:rsidP="00A51709">
            <w:pPr>
              <w:pStyle w:val="ListParagraph"/>
              <w:rPr>
                <w:rFonts w:cs="Arial"/>
              </w:rPr>
            </w:pPr>
            <w:r w:rsidRPr="00A51709">
              <w:rPr>
                <w:rFonts w:cs="Arial"/>
              </w:rPr>
              <w:t>Planning permission obtained – procurement of contractor underway</w:t>
            </w:r>
          </w:p>
        </w:tc>
        <w:tc>
          <w:tcPr>
            <w:tcW w:w="2322" w:type="dxa"/>
          </w:tcPr>
          <w:p w:rsidR="009041B2" w:rsidRPr="00A51709" w:rsidRDefault="00E36CE3" w:rsidP="00A51709">
            <w:pPr>
              <w:pStyle w:val="ListParagraph"/>
              <w:rPr>
                <w:rFonts w:cs="Arial"/>
              </w:rPr>
            </w:pPr>
            <w:r w:rsidRPr="00A51709">
              <w:rPr>
                <w:rFonts w:cs="Arial"/>
              </w:rPr>
              <w:t>Dec 2020</w:t>
            </w:r>
          </w:p>
        </w:tc>
      </w:tr>
      <w:tr w:rsidR="00CC1A53" w:rsidRPr="00A51709" w:rsidTr="009041B2">
        <w:tc>
          <w:tcPr>
            <w:tcW w:w="2322" w:type="dxa"/>
          </w:tcPr>
          <w:p w:rsidR="009041B2" w:rsidRPr="00A51709" w:rsidRDefault="009041B2" w:rsidP="00A51709">
            <w:pPr>
              <w:pStyle w:val="ListParagraph"/>
              <w:rPr>
                <w:rFonts w:cs="Arial"/>
              </w:rPr>
            </w:pPr>
            <w:r w:rsidRPr="00A51709">
              <w:rPr>
                <w:rFonts w:cs="Arial"/>
              </w:rPr>
              <w:t>Between Towns Road</w:t>
            </w:r>
          </w:p>
        </w:tc>
        <w:tc>
          <w:tcPr>
            <w:tcW w:w="2322" w:type="dxa"/>
          </w:tcPr>
          <w:p w:rsidR="009041B2" w:rsidRPr="00A51709" w:rsidRDefault="009041B2" w:rsidP="00A51709">
            <w:pPr>
              <w:pStyle w:val="ListParagraph"/>
              <w:rPr>
                <w:rFonts w:cs="Arial"/>
              </w:rPr>
            </w:pPr>
            <w:r w:rsidRPr="00A51709">
              <w:rPr>
                <w:rFonts w:cs="Arial"/>
              </w:rPr>
              <w:t>38 (</w:t>
            </w:r>
            <w:r w:rsidR="000C3A25" w:rsidRPr="00A51709">
              <w:rPr>
                <w:rFonts w:cs="Arial"/>
              </w:rPr>
              <w:t>19</w:t>
            </w:r>
            <w:r w:rsidRPr="00A51709">
              <w:rPr>
                <w:rFonts w:cs="Arial"/>
              </w:rPr>
              <w:t xml:space="preserve"> affordable)</w:t>
            </w:r>
          </w:p>
        </w:tc>
        <w:tc>
          <w:tcPr>
            <w:tcW w:w="2322" w:type="dxa"/>
          </w:tcPr>
          <w:p w:rsidR="009041B2" w:rsidRPr="00A51709" w:rsidRDefault="009041B2" w:rsidP="00A51709">
            <w:pPr>
              <w:pStyle w:val="ListParagraph"/>
              <w:rPr>
                <w:rFonts w:cs="Arial"/>
              </w:rPr>
            </w:pPr>
            <w:r w:rsidRPr="00A51709">
              <w:rPr>
                <w:rFonts w:cs="Arial"/>
              </w:rPr>
              <w:t xml:space="preserve">Planning permission granted at committee – called in for review. Procurement </w:t>
            </w:r>
            <w:r w:rsidR="00CC1A53" w:rsidRPr="00A51709">
              <w:rPr>
                <w:rFonts w:cs="Arial"/>
              </w:rPr>
              <w:t xml:space="preserve">of contractor </w:t>
            </w:r>
            <w:r w:rsidRPr="00A51709">
              <w:rPr>
                <w:rFonts w:cs="Arial"/>
              </w:rPr>
              <w:t>underway.</w:t>
            </w:r>
          </w:p>
        </w:tc>
        <w:tc>
          <w:tcPr>
            <w:tcW w:w="2322" w:type="dxa"/>
          </w:tcPr>
          <w:p w:rsidR="009041B2" w:rsidRDefault="00F8047B" w:rsidP="00A51709">
            <w:pPr>
              <w:pStyle w:val="ListParagraph"/>
              <w:rPr>
                <w:rFonts w:cs="Arial"/>
              </w:rPr>
            </w:pPr>
            <w:r w:rsidRPr="00A51709">
              <w:rPr>
                <w:rFonts w:cs="Arial"/>
              </w:rPr>
              <w:t>Dec 2020</w:t>
            </w:r>
          </w:p>
          <w:p w:rsidR="00970334" w:rsidRDefault="00970334" w:rsidP="00A51709">
            <w:pPr>
              <w:pStyle w:val="ListParagraph"/>
              <w:rPr>
                <w:rFonts w:cs="Arial"/>
              </w:rPr>
            </w:pPr>
          </w:p>
          <w:p w:rsidR="00970334" w:rsidRDefault="00970334" w:rsidP="00A51709">
            <w:pPr>
              <w:pStyle w:val="ListParagraph"/>
              <w:rPr>
                <w:rFonts w:cs="Arial"/>
              </w:rPr>
            </w:pPr>
          </w:p>
          <w:p w:rsidR="00970334" w:rsidRDefault="00970334" w:rsidP="00A51709">
            <w:pPr>
              <w:pStyle w:val="ListParagraph"/>
              <w:rPr>
                <w:rFonts w:cs="Arial"/>
              </w:rPr>
            </w:pPr>
          </w:p>
          <w:p w:rsidR="00970334" w:rsidRDefault="00970334" w:rsidP="00A51709">
            <w:pPr>
              <w:pStyle w:val="ListParagraph"/>
              <w:rPr>
                <w:rFonts w:cs="Arial"/>
              </w:rPr>
            </w:pPr>
          </w:p>
          <w:p w:rsidR="00970334" w:rsidRDefault="00970334" w:rsidP="00A51709">
            <w:pPr>
              <w:pStyle w:val="ListParagraph"/>
              <w:rPr>
                <w:rFonts w:cs="Arial"/>
              </w:rPr>
            </w:pPr>
          </w:p>
          <w:p w:rsidR="00970334" w:rsidRDefault="00970334" w:rsidP="00A51709">
            <w:pPr>
              <w:pStyle w:val="ListParagraph"/>
              <w:rPr>
                <w:rFonts w:cs="Arial"/>
              </w:rPr>
            </w:pPr>
          </w:p>
          <w:p w:rsidR="00970334" w:rsidRDefault="00970334" w:rsidP="00A51709">
            <w:pPr>
              <w:pStyle w:val="ListParagraph"/>
              <w:rPr>
                <w:rFonts w:cs="Arial"/>
              </w:rPr>
            </w:pPr>
          </w:p>
          <w:p w:rsidR="00970334" w:rsidRPr="00A51709" w:rsidRDefault="00970334" w:rsidP="00A51709">
            <w:pPr>
              <w:pStyle w:val="ListParagraph"/>
              <w:rPr>
                <w:rFonts w:cs="Arial"/>
              </w:rPr>
            </w:pPr>
          </w:p>
        </w:tc>
      </w:tr>
      <w:tr w:rsidR="00CC1A53" w:rsidRPr="00A51709" w:rsidTr="009041B2">
        <w:tc>
          <w:tcPr>
            <w:tcW w:w="2322" w:type="dxa"/>
          </w:tcPr>
          <w:p w:rsidR="009041B2" w:rsidRPr="00A51709" w:rsidRDefault="009041B2" w:rsidP="00A51709">
            <w:pPr>
              <w:pStyle w:val="ListParagraph"/>
              <w:rPr>
                <w:rFonts w:cs="Arial"/>
              </w:rPr>
            </w:pPr>
            <w:r w:rsidRPr="00A51709">
              <w:rPr>
                <w:rFonts w:cs="Arial"/>
              </w:rPr>
              <w:t>Harts Close</w:t>
            </w:r>
          </w:p>
        </w:tc>
        <w:tc>
          <w:tcPr>
            <w:tcW w:w="2322" w:type="dxa"/>
          </w:tcPr>
          <w:p w:rsidR="009041B2" w:rsidRPr="00A51709" w:rsidRDefault="009041B2" w:rsidP="00A51709">
            <w:pPr>
              <w:pStyle w:val="ListParagraph"/>
              <w:rPr>
                <w:rFonts w:cs="Arial"/>
              </w:rPr>
            </w:pPr>
            <w:r w:rsidRPr="00A51709">
              <w:rPr>
                <w:rFonts w:cs="Arial"/>
              </w:rPr>
              <w:t>2 (both affordable)</w:t>
            </w:r>
          </w:p>
        </w:tc>
        <w:tc>
          <w:tcPr>
            <w:tcW w:w="2322" w:type="dxa"/>
          </w:tcPr>
          <w:p w:rsidR="009041B2" w:rsidRPr="00A51709" w:rsidRDefault="00CC1A53" w:rsidP="00A51709">
            <w:pPr>
              <w:pStyle w:val="ListParagraph"/>
              <w:rPr>
                <w:rFonts w:cs="Arial"/>
              </w:rPr>
            </w:pPr>
            <w:r w:rsidRPr="00A51709">
              <w:rPr>
                <w:rFonts w:cs="Arial"/>
              </w:rPr>
              <w:t xml:space="preserve">Planning permission </w:t>
            </w:r>
            <w:r w:rsidR="0057332A" w:rsidRPr="00A51709">
              <w:rPr>
                <w:rFonts w:cs="Arial"/>
              </w:rPr>
              <w:lastRenderedPageBreak/>
              <w:t>obtain</w:t>
            </w:r>
            <w:r w:rsidRPr="00A51709">
              <w:rPr>
                <w:rFonts w:cs="Arial"/>
              </w:rPr>
              <w:t>ed – price being negotiated with contractor</w:t>
            </w:r>
          </w:p>
        </w:tc>
        <w:tc>
          <w:tcPr>
            <w:tcW w:w="2322" w:type="dxa"/>
          </w:tcPr>
          <w:p w:rsidR="009041B2" w:rsidRPr="00A51709" w:rsidRDefault="00E36CE3" w:rsidP="00A51709">
            <w:pPr>
              <w:pStyle w:val="ListParagraph"/>
              <w:rPr>
                <w:rFonts w:cs="Arial"/>
              </w:rPr>
            </w:pPr>
            <w:r w:rsidRPr="00A51709">
              <w:rPr>
                <w:rFonts w:cs="Arial"/>
              </w:rPr>
              <w:lastRenderedPageBreak/>
              <w:t>April</w:t>
            </w:r>
            <w:r w:rsidR="00CC1A53" w:rsidRPr="00A51709">
              <w:rPr>
                <w:rFonts w:cs="Arial"/>
              </w:rPr>
              <w:t xml:space="preserve"> 2020</w:t>
            </w:r>
          </w:p>
        </w:tc>
      </w:tr>
      <w:tr w:rsidR="00CC1A53" w:rsidRPr="00A51709" w:rsidTr="009041B2">
        <w:tc>
          <w:tcPr>
            <w:tcW w:w="2322" w:type="dxa"/>
          </w:tcPr>
          <w:p w:rsidR="009041B2" w:rsidRPr="00A51709" w:rsidRDefault="00CC1A53" w:rsidP="00A51709">
            <w:pPr>
              <w:pStyle w:val="ListParagraph"/>
              <w:rPr>
                <w:rFonts w:cs="Arial"/>
              </w:rPr>
            </w:pPr>
            <w:r w:rsidRPr="00A51709">
              <w:rPr>
                <w:rFonts w:cs="Arial"/>
              </w:rPr>
              <w:lastRenderedPageBreak/>
              <w:t>Lucy Faithfull House</w:t>
            </w:r>
          </w:p>
        </w:tc>
        <w:tc>
          <w:tcPr>
            <w:tcW w:w="2322" w:type="dxa"/>
          </w:tcPr>
          <w:p w:rsidR="009041B2" w:rsidRPr="00A51709" w:rsidRDefault="00CC1A53" w:rsidP="00A51709">
            <w:pPr>
              <w:pStyle w:val="ListParagraph"/>
              <w:rPr>
                <w:rFonts w:cs="Arial"/>
              </w:rPr>
            </w:pPr>
            <w:r w:rsidRPr="00A51709">
              <w:rPr>
                <w:rFonts w:cs="Arial"/>
              </w:rPr>
              <w:t>36 (18 affordable)</w:t>
            </w:r>
          </w:p>
        </w:tc>
        <w:tc>
          <w:tcPr>
            <w:tcW w:w="2322" w:type="dxa"/>
          </w:tcPr>
          <w:p w:rsidR="009041B2" w:rsidRPr="00A51709" w:rsidRDefault="00CC1A53" w:rsidP="00A51709">
            <w:pPr>
              <w:pStyle w:val="ListParagraph"/>
              <w:rPr>
                <w:rFonts w:cs="Arial"/>
              </w:rPr>
            </w:pPr>
            <w:r w:rsidRPr="00A51709">
              <w:rPr>
                <w:rFonts w:cs="Arial"/>
              </w:rPr>
              <w:t xml:space="preserve">Pre </w:t>
            </w:r>
            <w:r w:rsidR="00CA6FC0">
              <w:rPr>
                <w:rFonts w:cs="Arial"/>
              </w:rPr>
              <w:t xml:space="preserve">planning </w:t>
            </w:r>
            <w:r w:rsidRPr="00A51709">
              <w:rPr>
                <w:rFonts w:cs="Arial"/>
              </w:rPr>
              <w:t>app</w:t>
            </w:r>
            <w:r w:rsidR="00CA6FC0">
              <w:rPr>
                <w:rFonts w:cs="Arial"/>
              </w:rPr>
              <w:t>lication</w:t>
            </w:r>
            <w:r w:rsidRPr="00A51709">
              <w:rPr>
                <w:rFonts w:cs="Arial"/>
              </w:rPr>
              <w:t xml:space="preserve"> underway</w:t>
            </w:r>
          </w:p>
        </w:tc>
        <w:tc>
          <w:tcPr>
            <w:tcW w:w="2322" w:type="dxa"/>
          </w:tcPr>
          <w:p w:rsidR="009041B2" w:rsidRPr="00A51709" w:rsidRDefault="00CC1A53" w:rsidP="00A51709">
            <w:pPr>
              <w:pStyle w:val="ListParagraph"/>
              <w:rPr>
                <w:rFonts w:cs="Arial"/>
              </w:rPr>
            </w:pPr>
            <w:r w:rsidRPr="00A51709">
              <w:rPr>
                <w:rFonts w:cs="Arial"/>
              </w:rPr>
              <w:t>April 2021</w:t>
            </w:r>
          </w:p>
        </w:tc>
      </w:tr>
      <w:tr w:rsidR="00CC1A53" w:rsidRPr="00A51709" w:rsidTr="009041B2">
        <w:tc>
          <w:tcPr>
            <w:tcW w:w="2322" w:type="dxa"/>
          </w:tcPr>
          <w:p w:rsidR="009041B2" w:rsidRPr="00A51709" w:rsidRDefault="00CC1A53" w:rsidP="00A51709">
            <w:pPr>
              <w:pStyle w:val="ListParagraph"/>
              <w:rPr>
                <w:rFonts w:cs="Arial"/>
              </w:rPr>
            </w:pPr>
            <w:r w:rsidRPr="00A51709">
              <w:rPr>
                <w:rFonts w:cs="Arial"/>
              </w:rPr>
              <w:t>Underhill Circus</w:t>
            </w:r>
          </w:p>
        </w:tc>
        <w:tc>
          <w:tcPr>
            <w:tcW w:w="2322" w:type="dxa"/>
          </w:tcPr>
          <w:p w:rsidR="009041B2" w:rsidRPr="00A51709" w:rsidRDefault="00CC1A53" w:rsidP="00A51709">
            <w:pPr>
              <w:pStyle w:val="ListParagraph"/>
              <w:rPr>
                <w:rFonts w:cs="Arial"/>
              </w:rPr>
            </w:pPr>
            <w:r w:rsidRPr="00A51709">
              <w:rPr>
                <w:rFonts w:cs="Arial"/>
              </w:rPr>
              <w:t>36 (18 affordable)</w:t>
            </w:r>
          </w:p>
        </w:tc>
        <w:tc>
          <w:tcPr>
            <w:tcW w:w="2322" w:type="dxa"/>
          </w:tcPr>
          <w:p w:rsidR="009041B2" w:rsidRPr="00A51709" w:rsidRDefault="00CC1A53" w:rsidP="000A38F8">
            <w:pPr>
              <w:pStyle w:val="ListParagraph"/>
              <w:rPr>
                <w:rFonts w:cs="Arial"/>
              </w:rPr>
            </w:pPr>
            <w:r w:rsidRPr="00A51709">
              <w:rPr>
                <w:rFonts w:cs="Arial"/>
              </w:rPr>
              <w:t xml:space="preserve">Pre </w:t>
            </w:r>
            <w:r w:rsidR="000A38F8">
              <w:rPr>
                <w:rFonts w:cs="Arial"/>
              </w:rPr>
              <w:t>planning application</w:t>
            </w:r>
            <w:r w:rsidRPr="00A51709">
              <w:rPr>
                <w:rFonts w:cs="Arial"/>
              </w:rPr>
              <w:t xml:space="preserve"> underway</w:t>
            </w:r>
          </w:p>
        </w:tc>
        <w:tc>
          <w:tcPr>
            <w:tcW w:w="2322" w:type="dxa"/>
          </w:tcPr>
          <w:p w:rsidR="009041B2" w:rsidRPr="00A51709" w:rsidRDefault="00F8047B" w:rsidP="00A51709">
            <w:pPr>
              <w:pStyle w:val="ListParagraph"/>
              <w:rPr>
                <w:rFonts w:cs="Arial"/>
              </w:rPr>
            </w:pPr>
            <w:r w:rsidRPr="00A51709">
              <w:rPr>
                <w:rFonts w:cs="Arial"/>
              </w:rPr>
              <w:t>Sep 2021</w:t>
            </w:r>
          </w:p>
        </w:tc>
      </w:tr>
      <w:tr w:rsidR="00CC1A53" w:rsidRPr="00A51709" w:rsidTr="009041B2">
        <w:tc>
          <w:tcPr>
            <w:tcW w:w="2322" w:type="dxa"/>
          </w:tcPr>
          <w:p w:rsidR="00CC1A53" w:rsidRPr="00A51709" w:rsidRDefault="00CC1A53" w:rsidP="009041B2">
            <w:pPr>
              <w:pStyle w:val="ListParagraph"/>
              <w:rPr>
                <w:rFonts w:cs="Arial"/>
              </w:rPr>
            </w:pPr>
            <w:r w:rsidRPr="00A51709">
              <w:rPr>
                <w:rFonts w:cs="Arial"/>
              </w:rPr>
              <w:t>Edgecombe Drive</w:t>
            </w:r>
          </w:p>
        </w:tc>
        <w:tc>
          <w:tcPr>
            <w:tcW w:w="2322" w:type="dxa"/>
          </w:tcPr>
          <w:p w:rsidR="00CC1A53" w:rsidRPr="00A51709" w:rsidRDefault="00CC1A53" w:rsidP="009041B2">
            <w:pPr>
              <w:pStyle w:val="ListParagraph"/>
              <w:rPr>
                <w:rFonts w:cs="Arial"/>
              </w:rPr>
            </w:pPr>
            <w:r w:rsidRPr="00A51709">
              <w:rPr>
                <w:rFonts w:cs="Arial"/>
              </w:rPr>
              <w:t>7 (all affordable)</w:t>
            </w:r>
          </w:p>
        </w:tc>
        <w:tc>
          <w:tcPr>
            <w:tcW w:w="2322" w:type="dxa"/>
          </w:tcPr>
          <w:p w:rsidR="00CC1A53" w:rsidRPr="00A51709" w:rsidRDefault="00CC1A53" w:rsidP="009041B2">
            <w:pPr>
              <w:pStyle w:val="ListParagraph"/>
              <w:rPr>
                <w:rFonts w:cs="Arial"/>
              </w:rPr>
            </w:pPr>
            <w:r w:rsidRPr="00A51709">
              <w:rPr>
                <w:rFonts w:cs="Arial"/>
              </w:rPr>
              <w:t>Pre</w:t>
            </w:r>
            <w:r w:rsidR="000A38F8">
              <w:rPr>
                <w:rFonts w:cs="Arial"/>
              </w:rPr>
              <w:t xml:space="preserve"> planning</w:t>
            </w:r>
            <w:r w:rsidRPr="00A51709">
              <w:rPr>
                <w:rFonts w:cs="Arial"/>
              </w:rPr>
              <w:t xml:space="preserve"> app</w:t>
            </w:r>
            <w:r w:rsidR="000A38F8">
              <w:rPr>
                <w:rFonts w:cs="Arial"/>
              </w:rPr>
              <w:t>lication</w:t>
            </w:r>
            <w:r w:rsidRPr="00A51709">
              <w:rPr>
                <w:rFonts w:cs="Arial"/>
              </w:rPr>
              <w:t xml:space="preserve"> underway</w:t>
            </w:r>
          </w:p>
        </w:tc>
        <w:tc>
          <w:tcPr>
            <w:tcW w:w="2322" w:type="dxa"/>
          </w:tcPr>
          <w:p w:rsidR="00CC1A53" w:rsidRPr="00A51709" w:rsidRDefault="00F8047B" w:rsidP="009041B2">
            <w:pPr>
              <w:pStyle w:val="ListParagraph"/>
              <w:rPr>
                <w:rFonts w:cs="Arial"/>
              </w:rPr>
            </w:pPr>
            <w:r w:rsidRPr="00A51709">
              <w:rPr>
                <w:rFonts w:cs="Arial"/>
              </w:rPr>
              <w:t>Aug 2020</w:t>
            </w:r>
          </w:p>
        </w:tc>
      </w:tr>
      <w:tr w:rsidR="0057332A" w:rsidRPr="00A51709" w:rsidTr="009041B2">
        <w:tc>
          <w:tcPr>
            <w:tcW w:w="2322" w:type="dxa"/>
          </w:tcPr>
          <w:p w:rsidR="0057332A" w:rsidRPr="00A51709" w:rsidRDefault="0057332A" w:rsidP="009041B2">
            <w:pPr>
              <w:pStyle w:val="ListParagraph"/>
              <w:rPr>
                <w:rFonts w:cs="Arial"/>
              </w:rPr>
            </w:pPr>
            <w:r w:rsidRPr="00A51709">
              <w:rPr>
                <w:rFonts w:cs="Arial"/>
              </w:rPr>
              <w:t>Bracegirdle, Mortimer, Broad Oak</w:t>
            </w:r>
          </w:p>
        </w:tc>
        <w:tc>
          <w:tcPr>
            <w:tcW w:w="2322" w:type="dxa"/>
          </w:tcPr>
          <w:p w:rsidR="0057332A" w:rsidRPr="00A51709" w:rsidRDefault="0057332A" w:rsidP="009041B2">
            <w:pPr>
              <w:pStyle w:val="ListParagraph"/>
              <w:rPr>
                <w:rFonts w:cs="Arial"/>
              </w:rPr>
            </w:pPr>
            <w:r w:rsidRPr="00A51709">
              <w:rPr>
                <w:rFonts w:cs="Arial"/>
              </w:rPr>
              <w:t>8 (7 affordable)</w:t>
            </w:r>
          </w:p>
        </w:tc>
        <w:tc>
          <w:tcPr>
            <w:tcW w:w="2322" w:type="dxa"/>
          </w:tcPr>
          <w:p w:rsidR="0057332A" w:rsidRPr="00A51709" w:rsidRDefault="0057332A" w:rsidP="009041B2">
            <w:pPr>
              <w:pStyle w:val="ListParagraph"/>
              <w:rPr>
                <w:rFonts w:cs="Arial"/>
              </w:rPr>
            </w:pPr>
            <w:r w:rsidRPr="00A51709">
              <w:rPr>
                <w:rFonts w:cs="Arial"/>
              </w:rPr>
              <w:t>Planning permission obtained, tenders received and being assessed</w:t>
            </w:r>
          </w:p>
        </w:tc>
        <w:tc>
          <w:tcPr>
            <w:tcW w:w="2322" w:type="dxa"/>
          </w:tcPr>
          <w:p w:rsidR="0057332A" w:rsidRPr="00A51709" w:rsidRDefault="0057332A" w:rsidP="009041B2">
            <w:pPr>
              <w:pStyle w:val="ListParagraph"/>
              <w:rPr>
                <w:rFonts w:cs="Arial"/>
              </w:rPr>
            </w:pPr>
            <w:r w:rsidRPr="00A51709">
              <w:rPr>
                <w:rFonts w:cs="Arial"/>
              </w:rPr>
              <w:t>July 2020</w:t>
            </w:r>
          </w:p>
        </w:tc>
      </w:tr>
    </w:tbl>
    <w:p w:rsidR="00EC38B4" w:rsidRPr="00EC38B4" w:rsidRDefault="00EC38B4" w:rsidP="00A51709">
      <w:pPr>
        <w:pStyle w:val="ListParagraph"/>
        <w:ind w:left="785"/>
      </w:pPr>
    </w:p>
    <w:p w:rsidR="00E87F7A" w:rsidRPr="001356F1" w:rsidRDefault="00EC38B4" w:rsidP="00056C7C">
      <w:pPr>
        <w:pStyle w:val="ListParagraph"/>
        <w:numPr>
          <w:ilvl w:val="0"/>
          <w:numId w:val="14"/>
        </w:numPr>
      </w:pPr>
      <w:r w:rsidRPr="00056C7C">
        <w:rPr>
          <w:color w:val="auto"/>
        </w:rPr>
        <w:t>Recent</w:t>
      </w:r>
      <w:r w:rsidR="00056C7C" w:rsidRPr="00056C7C">
        <w:rPr>
          <w:color w:val="auto"/>
        </w:rPr>
        <w:t xml:space="preserve"> </w:t>
      </w:r>
      <w:r w:rsidR="00777675">
        <w:rPr>
          <w:color w:val="auto"/>
        </w:rPr>
        <w:t>g</w:t>
      </w:r>
      <w:r w:rsidR="00056C7C" w:rsidRPr="00056C7C">
        <w:rPr>
          <w:color w:val="auto"/>
        </w:rPr>
        <w:t>overnment policy changes</w:t>
      </w:r>
      <w:r w:rsidR="00777675">
        <w:rPr>
          <w:color w:val="auto"/>
        </w:rPr>
        <w:t xml:space="preserve"> have</w:t>
      </w:r>
      <w:r w:rsidR="00056C7C" w:rsidRPr="00056C7C">
        <w:rPr>
          <w:color w:val="auto"/>
        </w:rPr>
        <w:t xml:space="preserve"> remov</w:t>
      </w:r>
      <w:r w:rsidR="00777675">
        <w:rPr>
          <w:color w:val="auto"/>
        </w:rPr>
        <w:t>ed restrictions on</w:t>
      </w:r>
      <w:r w:rsidR="00131703">
        <w:rPr>
          <w:color w:val="auto"/>
        </w:rPr>
        <w:t xml:space="preserve"> the</w:t>
      </w:r>
      <w:r w:rsidR="00777675">
        <w:rPr>
          <w:color w:val="auto"/>
        </w:rPr>
        <w:t xml:space="preserve"> ability to borrow </w:t>
      </w:r>
      <w:r w:rsidR="00131703">
        <w:rPr>
          <w:color w:val="auto"/>
        </w:rPr>
        <w:t xml:space="preserve">within </w:t>
      </w:r>
      <w:r w:rsidR="00131703" w:rsidRPr="00056C7C">
        <w:rPr>
          <w:color w:val="auto"/>
        </w:rPr>
        <w:t>the</w:t>
      </w:r>
      <w:r w:rsidR="00056C7C">
        <w:rPr>
          <w:color w:val="auto"/>
        </w:rPr>
        <w:t xml:space="preserve"> HRA</w:t>
      </w:r>
      <w:r w:rsidR="00131703">
        <w:rPr>
          <w:color w:val="auto"/>
        </w:rPr>
        <w:t>. This</w:t>
      </w:r>
      <w:r w:rsidR="00056C7C">
        <w:rPr>
          <w:color w:val="auto"/>
        </w:rPr>
        <w:t xml:space="preserve"> necessitates a review of the </w:t>
      </w:r>
      <w:r w:rsidR="00131703">
        <w:rPr>
          <w:color w:val="auto"/>
        </w:rPr>
        <w:t>approach</w:t>
      </w:r>
      <w:r w:rsidR="006A4F90">
        <w:rPr>
          <w:color w:val="auto"/>
        </w:rPr>
        <w:t xml:space="preserve"> previously adopted by</w:t>
      </w:r>
      <w:r w:rsidR="00056C7C">
        <w:rPr>
          <w:color w:val="auto"/>
        </w:rPr>
        <w:t xml:space="preserve"> the Council</w:t>
      </w:r>
      <w:r w:rsidR="00131703">
        <w:rPr>
          <w:color w:val="auto"/>
        </w:rPr>
        <w:t xml:space="preserve"> and the future role for OCHL (o</w:t>
      </w:r>
      <w:r w:rsidR="00C16922">
        <w:rPr>
          <w:color w:val="auto"/>
        </w:rPr>
        <w:t>f</w:t>
      </w:r>
      <w:r w:rsidR="00131703">
        <w:rPr>
          <w:color w:val="auto"/>
        </w:rPr>
        <w:t xml:space="preserve"> which the Council is the shareholder)</w:t>
      </w:r>
      <w:r w:rsidR="00100A48">
        <w:rPr>
          <w:color w:val="auto"/>
        </w:rPr>
        <w:t xml:space="preserve"> </w:t>
      </w:r>
      <w:r w:rsidR="00056C7C">
        <w:rPr>
          <w:color w:val="auto"/>
        </w:rPr>
        <w:t>with respect to affordable housing delivery.</w:t>
      </w:r>
      <w:r w:rsidR="001F67B9">
        <w:t xml:space="preserve"> </w:t>
      </w:r>
    </w:p>
    <w:p w:rsidR="00633578" w:rsidRPr="001356F1" w:rsidRDefault="00F77C1D" w:rsidP="00E87F7A">
      <w:pPr>
        <w:pStyle w:val="Heading1"/>
      </w:pPr>
      <w:r>
        <w:t xml:space="preserve"> </w:t>
      </w:r>
      <w:r w:rsidR="0092717A">
        <w:t xml:space="preserve">Review phase </w:t>
      </w:r>
      <w:r w:rsidR="008F477B">
        <w:t>1</w:t>
      </w:r>
      <w:r>
        <w:t xml:space="preserve"> </w:t>
      </w:r>
    </w:p>
    <w:p w:rsidR="00E87F7A" w:rsidRDefault="00056C7C" w:rsidP="00056C7C">
      <w:pPr>
        <w:pStyle w:val="ListParagraph"/>
        <w:numPr>
          <w:ilvl w:val="0"/>
          <w:numId w:val="14"/>
        </w:numPr>
        <w:rPr>
          <w:rStyle w:val="ListParagraphChar"/>
        </w:rPr>
      </w:pPr>
      <w:r>
        <w:t>The objectives of the review have been</w:t>
      </w:r>
      <w:r w:rsidR="00936B25">
        <w:t xml:space="preserve"> to</w:t>
      </w:r>
    </w:p>
    <w:p w:rsidR="00056C7C" w:rsidRDefault="00056C7C" w:rsidP="00056C7C">
      <w:pPr>
        <w:pStyle w:val="ListParagraph"/>
        <w:numPr>
          <w:ilvl w:val="0"/>
          <w:numId w:val="38"/>
        </w:numPr>
        <w:rPr>
          <w:rStyle w:val="ListParagraphChar"/>
        </w:rPr>
      </w:pPr>
      <w:r>
        <w:rPr>
          <w:rStyle w:val="ListParagraphChar"/>
        </w:rPr>
        <w:t>Maintain the existing social housing new build programme</w:t>
      </w:r>
      <w:r w:rsidR="00936B25">
        <w:rPr>
          <w:rStyle w:val="ListParagraphChar"/>
        </w:rPr>
        <w:t>.</w:t>
      </w:r>
    </w:p>
    <w:p w:rsidR="00936B25" w:rsidRDefault="00936B25" w:rsidP="00056C7C">
      <w:pPr>
        <w:pStyle w:val="ListParagraph"/>
        <w:numPr>
          <w:ilvl w:val="0"/>
          <w:numId w:val="38"/>
        </w:numPr>
        <w:rPr>
          <w:rStyle w:val="ListParagraphChar"/>
        </w:rPr>
      </w:pPr>
      <w:r>
        <w:rPr>
          <w:rStyle w:val="ListParagraphChar"/>
        </w:rPr>
        <w:t>Maximise the potential to expand and accelerate the programme through using new borrowing flexibilities</w:t>
      </w:r>
    </w:p>
    <w:p w:rsidR="00936B25" w:rsidRDefault="00936B25" w:rsidP="00056C7C">
      <w:pPr>
        <w:pStyle w:val="ListParagraph"/>
        <w:numPr>
          <w:ilvl w:val="0"/>
          <w:numId w:val="38"/>
        </w:numPr>
        <w:rPr>
          <w:rStyle w:val="ListParagraphChar"/>
        </w:rPr>
      </w:pPr>
      <w:r>
        <w:rPr>
          <w:rStyle w:val="ListParagraphChar"/>
        </w:rPr>
        <w:t>Protect the assumed position in the M</w:t>
      </w:r>
      <w:r w:rsidR="00655FCD">
        <w:rPr>
          <w:rStyle w:val="ListParagraphChar"/>
        </w:rPr>
        <w:t xml:space="preserve">edium </w:t>
      </w:r>
      <w:r>
        <w:rPr>
          <w:rStyle w:val="ListParagraphChar"/>
        </w:rPr>
        <w:t>T</w:t>
      </w:r>
      <w:r w:rsidR="00655FCD">
        <w:rPr>
          <w:rStyle w:val="ListParagraphChar"/>
        </w:rPr>
        <w:t xml:space="preserve">erm </w:t>
      </w:r>
      <w:r>
        <w:rPr>
          <w:rStyle w:val="ListParagraphChar"/>
        </w:rPr>
        <w:t>F</w:t>
      </w:r>
      <w:r w:rsidR="00655FCD">
        <w:rPr>
          <w:rStyle w:val="ListParagraphChar"/>
        </w:rPr>
        <w:t xml:space="preserve">inancial </w:t>
      </w:r>
      <w:r>
        <w:rPr>
          <w:rStyle w:val="ListParagraphChar"/>
        </w:rPr>
        <w:t>P</w:t>
      </w:r>
      <w:r w:rsidR="00655FCD">
        <w:rPr>
          <w:rStyle w:val="ListParagraphChar"/>
        </w:rPr>
        <w:t>lan (MTFP)</w:t>
      </w:r>
      <w:r>
        <w:rPr>
          <w:rStyle w:val="ListParagraphChar"/>
        </w:rPr>
        <w:t xml:space="preserve"> and explore </w:t>
      </w:r>
      <w:r w:rsidR="00131703">
        <w:rPr>
          <w:rStyle w:val="ListParagraphChar"/>
        </w:rPr>
        <w:t>the potential for</w:t>
      </w:r>
      <w:r>
        <w:rPr>
          <w:rStyle w:val="ListParagraphChar"/>
        </w:rPr>
        <w:t xml:space="preserve"> an increased contribution</w:t>
      </w:r>
      <w:r w:rsidR="00131703">
        <w:rPr>
          <w:rStyle w:val="ListParagraphChar"/>
        </w:rPr>
        <w:t xml:space="preserve"> from OCHL</w:t>
      </w:r>
      <w:r w:rsidR="008B069D">
        <w:rPr>
          <w:rStyle w:val="ListParagraphChar"/>
        </w:rPr>
        <w:t xml:space="preserve">, if financially prudent and affordable for </w:t>
      </w:r>
      <w:r w:rsidR="00131703">
        <w:rPr>
          <w:rStyle w:val="ListParagraphChar"/>
        </w:rPr>
        <w:t>the company.</w:t>
      </w:r>
    </w:p>
    <w:p w:rsidR="00936B25" w:rsidRDefault="00936B25" w:rsidP="00056C7C">
      <w:pPr>
        <w:pStyle w:val="ListParagraph"/>
        <w:numPr>
          <w:ilvl w:val="0"/>
          <w:numId w:val="38"/>
        </w:numPr>
        <w:rPr>
          <w:rStyle w:val="ListParagraphChar"/>
        </w:rPr>
      </w:pPr>
      <w:r>
        <w:rPr>
          <w:rStyle w:val="ListParagraphChar"/>
        </w:rPr>
        <w:t xml:space="preserve">Provide </w:t>
      </w:r>
      <w:r w:rsidR="008B069D">
        <w:rPr>
          <w:rStyle w:val="ListParagraphChar"/>
        </w:rPr>
        <w:t>a more</w:t>
      </w:r>
      <w:r>
        <w:rPr>
          <w:rStyle w:val="ListParagraphChar"/>
        </w:rPr>
        <w:t xml:space="preserve"> efficient and coherent model for the management of the Council’s social housing stock</w:t>
      </w:r>
    </w:p>
    <w:p w:rsidR="00936B25" w:rsidRDefault="00936B25" w:rsidP="00936B25">
      <w:pPr>
        <w:pStyle w:val="ListParagraph"/>
        <w:numPr>
          <w:ilvl w:val="0"/>
          <w:numId w:val="14"/>
        </w:numPr>
        <w:rPr>
          <w:rStyle w:val="ListParagraphChar"/>
        </w:rPr>
      </w:pPr>
      <w:r>
        <w:rPr>
          <w:rStyle w:val="ListParagraphChar"/>
        </w:rPr>
        <w:t>OCHL’s business plan continues to reflect the position</w:t>
      </w:r>
      <w:r w:rsidR="00131703">
        <w:rPr>
          <w:rStyle w:val="ListParagraphChar"/>
        </w:rPr>
        <w:t xml:space="preserve"> agreed by</w:t>
      </w:r>
      <w:r>
        <w:rPr>
          <w:rStyle w:val="ListParagraphChar"/>
        </w:rPr>
        <w:t xml:space="preserve"> the Council namely</w:t>
      </w:r>
    </w:p>
    <w:p w:rsidR="00936B25" w:rsidRDefault="00936B25" w:rsidP="00936B25">
      <w:pPr>
        <w:pStyle w:val="ListParagraph"/>
        <w:numPr>
          <w:ilvl w:val="0"/>
          <w:numId w:val="40"/>
        </w:numPr>
        <w:rPr>
          <w:rStyle w:val="ListParagraphChar"/>
        </w:rPr>
      </w:pPr>
      <w:r>
        <w:rPr>
          <w:rStyle w:val="ListParagraphChar"/>
        </w:rPr>
        <w:t xml:space="preserve">A development programme of Council owned sites that would be sold to OCHL </w:t>
      </w:r>
      <w:r w:rsidR="006A4F90">
        <w:rPr>
          <w:rStyle w:val="ListParagraphChar"/>
        </w:rPr>
        <w:t>and</w:t>
      </w:r>
      <w:r>
        <w:rPr>
          <w:rStyle w:val="ListParagraphChar"/>
        </w:rPr>
        <w:t xml:space="preserve"> would deliver an estimated </w:t>
      </w:r>
      <w:r w:rsidR="0057332A">
        <w:rPr>
          <w:rStyle w:val="ListParagraphChar"/>
        </w:rPr>
        <w:t xml:space="preserve">207 </w:t>
      </w:r>
      <w:r w:rsidR="006A4F90">
        <w:rPr>
          <w:rStyle w:val="ListParagraphChar"/>
        </w:rPr>
        <w:t>mixed tenure properties including external sales with the remainder of the dwellings being owned by OCHL long term and managed by O</w:t>
      </w:r>
      <w:r w:rsidR="00655FCD">
        <w:rPr>
          <w:rStyle w:val="ListParagraphChar"/>
        </w:rPr>
        <w:t xml:space="preserve">xford </w:t>
      </w:r>
      <w:r w:rsidR="006A4F90">
        <w:rPr>
          <w:rStyle w:val="ListParagraphChar"/>
        </w:rPr>
        <w:t>C</w:t>
      </w:r>
      <w:r w:rsidR="00655FCD">
        <w:rPr>
          <w:rStyle w:val="ListParagraphChar"/>
        </w:rPr>
        <w:t xml:space="preserve">ity </w:t>
      </w:r>
      <w:proofErr w:type="gramStart"/>
      <w:r w:rsidR="006A4F90">
        <w:rPr>
          <w:rStyle w:val="ListParagraphChar"/>
        </w:rPr>
        <w:t>C</w:t>
      </w:r>
      <w:r w:rsidR="00655FCD">
        <w:rPr>
          <w:rStyle w:val="ListParagraphChar"/>
        </w:rPr>
        <w:t>ouncil</w:t>
      </w:r>
      <w:r w:rsidR="00856FD4">
        <w:rPr>
          <w:rStyle w:val="ListParagraphChar"/>
        </w:rPr>
        <w:t xml:space="preserve"> </w:t>
      </w:r>
      <w:r w:rsidR="006A4F90">
        <w:rPr>
          <w:rStyle w:val="ListParagraphChar"/>
        </w:rPr>
        <w:t xml:space="preserve"> on</w:t>
      </w:r>
      <w:proofErr w:type="gramEnd"/>
      <w:r w:rsidR="006A4F90">
        <w:rPr>
          <w:rStyle w:val="ListParagraphChar"/>
        </w:rPr>
        <w:t xml:space="preserve"> behalf of OCHL</w:t>
      </w:r>
      <w:r w:rsidR="008B069D">
        <w:rPr>
          <w:rStyle w:val="ListParagraphChar"/>
        </w:rPr>
        <w:t xml:space="preserve"> via a S</w:t>
      </w:r>
      <w:r w:rsidR="00655FCD">
        <w:rPr>
          <w:rStyle w:val="ListParagraphChar"/>
        </w:rPr>
        <w:t xml:space="preserve">ervice </w:t>
      </w:r>
      <w:r w:rsidR="008B069D">
        <w:rPr>
          <w:rStyle w:val="ListParagraphChar"/>
        </w:rPr>
        <w:t>L</w:t>
      </w:r>
      <w:r w:rsidR="00655FCD">
        <w:rPr>
          <w:rStyle w:val="ListParagraphChar"/>
        </w:rPr>
        <w:t xml:space="preserve">evel </w:t>
      </w:r>
      <w:r w:rsidR="008B069D">
        <w:rPr>
          <w:rStyle w:val="ListParagraphChar"/>
        </w:rPr>
        <w:t>A</w:t>
      </w:r>
      <w:r w:rsidR="00655FCD">
        <w:rPr>
          <w:rStyle w:val="ListParagraphChar"/>
        </w:rPr>
        <w:t>greement (SLA)</w:t>
      </w:r>
      <w:r w:rsidR="006A4F90">
        <w:rPr>
          <w:rStyle w:val="ListParagraphChar"/>
        </w:rPr>
        <w:t>.</w:t>
      </w:r>
      <w:r>
        <w:rPr>
          <w:rStyle w:val="ListParagraphChar"/>
        </w:rPr>
        <w:t xml:space="preserve"> </w:t>
      </w:r>
    </w:p>
    <w:p w:rsidR="000E2DF5" w:rsidRDefault="00936B25" w:rsidP="00936B25">
      <w:pPr>
        <w:pStyle w:val="ListParagraph"/>
        <w:numPr>
          <w:ilvl w:val="0"/>
          <w:numId w:val="40"/>
        </w:numPr>
        <w:rPr>
          <w:rStyle w:val="ListParagraphChar"/>
        </w:rPr>
      </w:pPr>
      <w:r>
        <w:rPr>
          <w:rStyle w:val="ListParagraphChar"/>
        </w:rPr>
        <w:t xml:space="preserve">A programme of acquisition from the Council of 354 social rented units at Barton Park developed by BOLLP </w:t>
      </w:r>
    </w:p>
    <w:p w:rsidR="00936B25" w:rsidRDefault="000E2DF5" w:rsidP="00936B25">
      <w:pPr>
        <w:pStyle w:val="ListParagraph"/>
        <w:numPr>
          <w:ilvl w:val="0"/>
          <w:numId w:val="40"/>
        </w:numPr>
        <w:rPr>
          <w:rStyle w:val="ListParagraphChar"/>
        </w:rPr>
      </w:pPr>
      <w:r>
        <w:rPr>
          <w:rStyle w:val="ListParagraphChar"/>
        </w:rPr>
        <w:lastRenderedPageBreak/>
        <w:t>A</w:t>
      </w:r>
      <w:r w:rsidR="006A4F90">
        <w:rPr>
          <w:rStyle w:val="ListParagraphChar"/>
        </w:rPr>
        <w:t xml:space="preserve"> funded</w:t>
      </w:r>
      <w:r>
        <w:rPr>
          <w:rStyle w:val="ListParagraphChar"/>
        </w:rPr>
        <w:t xml:space="preserve"> trickle transfer of 5 HRA voids each year</w:t>
      </w:r>
      <w:r w:rsidR="006A4F90">
        <w:rPr>
          <w:rStyle w:val="ListParagraphChar"/>
        </w:rPr>
        <w:t xml:space="preserve"> for the first 5 years of the business plan with an aspiration that this would continue thereafter</w:t>
      </w:r>
      <w:r w:rsidR="00936B25">
        <w:rPr>
          <w:rStyle w:val="ListParagraphChar"/>
        </w:rPr>
        <w:t xml:space="preserve"> </w:t>
      </w:r>
      <w:r w:rsidR="008B069D">
        <w:rPr>
          <w:rStyle w:val="ListParagraphChar"/>
        </w:rPr>
        <w:t>to effectively</w:t>
      </w:r>
      <w:r>
        <w:rPr>
          <w:rStyle w:val="ListParagraphChar"/>
        </w:rPr>
        <w:t xml:space="preserve"> create larger units and/or new units</w:t>
      </w:r>
      <w:r w:rsidR="006A4F90">
        <w:rPr>
          <w:rStyle w:val="ListParagraphChar"/>
        </w:rPr>
        <w:t>, where land footprint allowed</w:t>
      </w:r>
      <w:r>
        <w:rPr>
          <w:rStyle w:val="ListParagraphChar"/>
        </w:rPr>
        <w:t>.</w:t>
      </w:r>
    </w:p>
    <w:p w:rsidR="000E2DF5" w:rsidRDefault="000E2DF5" w:rsidP="000E2DF5">
      <w:pPr>
        <w:pStyle w:val="ListParagraph"/>
        <w:numPr>
          <w:ilvl w:val="0"/>
          <w:numId w:val="14"/>
        </w:numPr>
        <w:rPr>
          <w:rStyle w:val="ListParagraphChar"/>
        </w:rPr>
      </w:pPr>
      <w:r>
        <w:rPr>
          <w:rStyle w:val="ListParagraphChar"/>
        </w:rPr>
        <w:t>The Council’s  current MTFP</w:t>
      </w:r>
      <w:r w:rsidR="008B069D">
        <w:rPr>
          <w:rStyle w:val="ListParagraphChar"/>
        </w:rPr>
        <w:t xml:space="preserve"> and Treasury Management Strategy agreed at Council in February 2019 </w:t>
      </w:r>
      <w:r>
        <w:rPr>
          <w:rStyle w:val="ListParagraphChar"/>
        </w:rPr>
        <w:t xml:space="preserve"> reflect this</w:t>
      </w:r>
      <w:r w:rsidR="008B069D">
        <w:rPr>
          <w:rStyle w:val="ListParagraphChar"/>
        </w:rPr>
        <w:t xml:space="preserve"> base</w:t>
      </w:r>
      <w:r>
        <w:rPr>
          <w:rStyle w:val="ListParagraphChar"/>
        </w:rPr>
        <w:t xml:space="preserve"> position</w:t>
      </w:r>
    </w:p>
    <w:p w:rsidR="000E2DF5" w:rsidRDefault="00131703" w:rsidP="000E2DF5">
      <w:pPr>
        <w:pStyle w:val="ListParagraph"/>
        <w:numPr>
          <w:ilvl w:val="0"/>
          <w:numId w:val="14"/>
        </w:numPr>
        <w:rPr>
          <w:rStyle w:val="ListParagraphChar"/>
        </w:rPr>
      </w:pPr>
      <w:r>
        <w:rPr>
          <w:rStyle w:val="ListParagraphChar"/>
        </w:rPr>
        <w:t xml:space="preserve"> T</w:t>
      </w:r>
      <w:r w:rsidR="000E2DF5">
        <w:rPr>
          <w:rStyle w:val="ListParagraphChar"/>
        </w:rPr>
        <w:t>he lifting of the</w:t>
      </w:r>
      <w:r w:rsidR="004E1F1B">
        <w:rPr>
          <w:rStyle w:val="ListParagraphChar"/>
        </w:rPr>
        <w:t xml:space="preserve"> HRA debt cap</w:t>
      </w:r>
      <w:r>
        <w:rPr>
          <w:rStyle w:val="ListParagraphChar"/>
        </w:rPr>
        <w:t xml:space="preserve"> raises the question of whether continuing to deliver affordable housing through OCHL is</w:t>
      </w:r>
      <w:r w:rsidR="00300AF2">
        <w:rPr>
          <w:rStyle w:val="ListParagraphChar"/>
        </w:rPr>
        <w:t xml:space="preserve"> necessary or advantageous, since expanded borrowing capacity means </w:t>
      </w:r>
      <w:r w:rsidR="000E2DF5">
        <w:rPr>
          <w:rStyle w:val="ListParagraphChar"/>
        </w:rPr>
        <w:t>it could</w:t>
      </w:r>
      <w:r w:rsidR="008B069D">
        <w:rPr>
          <w:rStyle w:val="ListParagraphChar"/>
        </w:rPr>
        <w:t xml:space="preserve"> now</w:t>
      </w:r>
      <w:r w:rsidR="000E2DF5">
        <w:rPr>
          <w:rStyle w:val="ListParagraphChar"/>
        </w:rPr>
        <w:t xml:space="preserve"> be done directly </w:t>
      </w:r>
      <w:r w:rsidR="008B069D">
        <w:rPr>
          <w:rStyle w:val="ListParagraphChar"/>
        </w:rPr>
        <w:t xml:space="preserve">from </w:t>
      </w:r>
      <w:r w:rsidR="000E2DF5">
        <w:rPr>
          <w:rStyle w:val="ListParagraphChar"/>
        </w:rPr>
        <w:t xml:space="preserve">within the </w:t>
      </w:r>
      <w:r w:rsidR="00A51709">
        <w:rPr>
          <w:rStyle w:val="ListParagraphChar"/>
        </w:rPr>
        <w:t xml:space="preserve">HRA. </w:t>
      </w:r>
      <w:r w:rsidR="000E2DF5">
        <w:rPr>
          <w:rStyle w:val="ListParagraphChar"/>
        </w:rPr>
        <w:t>However</w:t>
      </w:r>
      <w:r w:rsidR="00300AF2">
        <w:rPr>
          <w:rStyle w:val="ListParagraphChar"/>
        </w:rPr>
        <w:t xml:space="preserve"> there are a number of advantages to a continued role for OCHL</w:t>
      </w:r>
      <w:r w:rsidR="00C16922">
        <w:rPr>
          <w:rStyle w:val="ListParagraphChar"/>
        </w:rPr>
        <w:t>, and the potential</w:t>
      </w:r>
      <w:r w:rsidR="00300AF2">
        <w:rPr>
          <w:rStyle w:val="ListParagraphChar"/>
        </w:rPr>
        <w:t xml:space="preserve"> </w:t>
      </w:r>
      <w:r w:rsidR="000E2DF5">
        <w:rPr>
          <w:rStyle w:val="ListParagraphChar"/>
        </w:rPr>
        <w:t>disadvantages</w:t>
      </w:r>
      <w:r w:rsidR="004C6192">
        <w:rPr>
          <w:rStyle w:val="ListParagraphChar"/>
        </w:rPr>
        <w:t xml:space="preserve"> in undertaking all activity through the HRA are</w:t>
      </w:r>
      <w:r w:rsidR="00C16922">
        <w:rPr>
          <w:rStyle w:val="ListParagraphChar"/>
        </w:rPr>
        <w:t xml:space="preserve"> as follows:</w:t>
      </w:r>
      <w:r w:rsidR="000E2DF5">
        <w:rPr>
          <w:rStyle w:val="ListParagraphChar"/>
        </w:rPr>
        <w:t xml:space="preserve"> </w:t>
      </w:r>
    </w:p>
    <w:p w:rsidR="00253DDC" w:rsidRPr="00253DDC" w:rsidRDefault="00253DDC" w:rsidP="00253DDC">
      <w:pPr>
        <w:ind w:left="720"/>
        <w:rPr>
          <w:rStyle w:val="ListParagraphChar"/>
        </w:rPr>
      </w:pPr>
    </w:p>
    <w:p w:rsidR="00300AF2" w:rsidRPr="00300AF2" w:rsidRDefault="00300AF2" w:rsidP="00300AF2">
      <w:pPr>
        <w:pStyle w:val="ListParagraph"/>
        <w:numPr>
          <w:ilvl w:val="0"/>
          <w:numId w:val="47"/>
        </w:numPr>
        <w:rPr>
          <w:rStyle w:val="ListParagraphChar"/>
        </w:rPr>
      </w:pPr>
      <w:r w:rsidRPr="00300AF2">
        <w:rPr>
          <w:rStyle w:val="ListParagraphChar"/>
          <w:b/>
        </w:rPr>
        <w:t>Protection from future government policy changes</w:t>
      </w:r>
      <w:r w:rsidR="0093262B">
        <w:rPr>
          <w:rStyle w:val="ListParagraphChar"/>
          <w:b/>
        </w:rPr>
        <w:t>.</w:t>
      </w:r>
    </w:p>
    <w:p w:rsidR="000E2DF5" w:rsidRDefault="00300AF2" w:rsidP="00253DDC">
      <w:pPr>
        <w:ind w:left="1080"/>
        <w:rPr>
          <w:rStyle w:val="ListParagraphChar"/>
        </w:rPr>
      </w:pPr>
      <w:r>
        <w:rPr>
          <w:rStyle w:val="ListParagraphChar"/>
        </w:rPr>
        <w:t>The delivery of developments of significant value and the associated</w:t>
      </w:r>
      <w:r w:rsidR="004E1F1B">
        <w:rPr>
          <w:rStyle w:val="ListParagraphChar"/>
        </w:rPr>
        <w:t xml:space="preserve"> long term borrowing </w:t>
      </w:r>
      <w:r>
        <w:rPr>
          <w:rStyle w:val="ListParagraphChar"/>
        </w:rPr>
        <w:t>plans require</w:t>
      </w:r>
      <w:r w:rsidR="004E1F1B">
        <w:rPr>
          <w:rStyle w:val="ListParagraphChar"/>
        </w:rPr>
        <w:t xml:space="preserve"> </w:t>
      </w:r>
      <w:r>
        <w:rPr>
          <w:rStyle w:val="ListParagraphChar"/>
        </w:rPr>
        <w:t>certainty. It</w:t>
      </w:r>
      <w:r w:rsidR="004E1F1B">
        <w:rPr>
          <w:rStyle w:val="ListParagraphChar"/>
        </w:rPr>
        <w:t xml:space="preserve"> is clear that even since the introduction of self-financing</w:t>
      </w:r>
      <w:r>
        <w:rPr>
          <w:rStyle w:val="ListParagraphChar"/>
        </w:rPr>
        <w:t>,</w:t>
      </w:r>
      <w:r w:rsidR="004E1F1B">
        <w:rPr>
          <w:rStyle w:val="ListParagraphChar"/>
        </w:rPr>
        <w:t xml:space="preserve"> the </w:t>
      </w:r>
      <w:r w:rsidR="0060053C">
        <w:rPr>
          <w:rStyle w:val="ListParagraphChar"/>
        </w:rPr>
        <w:t>Government</w:t>
      </w:r>
      <w:r w:rsidR="004E1F1B">
        <w:rPr>
          <w:rStyle w:val="ListParagraphChar"/>
        </w:rPr>
        <w:t xml:space="preserve"> has continued </w:t>
      </w:r>
      <w:r w:rsidR="004C6192">
        <w:rPr>
          <w:rStyle w:val="ListParagraphChar"/>
        </w:rPr>
        <w:t>to interfere</w:t>
      </w:r>
      <w:r w:rsidR="0060053C">
        <w:rPr>
          <w:rStyle w:val="ListParagraphChar"/>
        </w:rPr>
        <w:t xml:space="preserve"> with the financial elements of Local Authorities’ HRAs</w:t>
      </w:r>
      <w:r w:rsidR="004C6192">
        <w:rPr>
          <w:rStyle w:val="ListParagraphChar"/>
        </w:rPr>
        <w:t>. The now retracted high value void levy and the imposition of rent reductions being examples of this. T</w:t>
      </w:r>
      <w:r w:rsidR="0060053C">
        <w:rPr>
          <w:rStyle w:val="ListParagraphChar"/>
        </w:rPr>
        <w:t>his lack of certainty with regard to future funding p</w:t>
      </w:r>
      <w:r w:rsidR="000E2DF5">
        <w:rPr>
          <w:rStyle w:val="ListParagraphChar"/>
        </w:rPr>
        <w:t xml:space="preserve">laces future supply delivery at risk from potential future Government policy </w:t>
      </w:r>
      <w:r>
        <w:rPr>
          <w:rStyle w:val="ListParagraphChar"/>
        </w:rPr>
        <w:t>changes</w:t>
      </w:r>
      <w:r w:rsidR="0093262B">
        <w:rPr>
          <w:rStyle w:val="ListParagraphChar"/>
        </w:rPr>
        <w:t>.</w:t>
      </w:r>
    </w:p>
    <w:p w:rsidR="0093262B" w:rsidRPr="0093262B" w:rsidRDefault="00300AF2" w:rsidP="005B18C1">
      <w:pPr>
        <w:pStyle w:val="ListParagraph"/>
        <w:numPr>
          <w:ilvl w:val="0"/>
          <w:numId w:val="47"/>
        </w:numPr>
        <w:rPr>
          <w:rStyle w:val="ListParagraphChar"/>
          <w:b/>
        </w:rPr>
      </w:pPr>
      <w:r w:rsidRPr="0093262B">
        <w:rPr>
          <w:rStyle w:val="ListParagraphChar"/>
          <w:b/>
        </w:rPr>
        <w:t xml:space="preserve">Greater </w:t>
      </w:r>
      <w:r w:rsidR="0093262B">
        <w:rPr>
          <w:rStyle w:val="ListParagraphChar"/>
          <w:b/>
        </w:rPr>
        <w:t>o</w:t>
      </w:r>
      <w:r w:rsidRPr="0093262B">
        <w:rPr>
          <w:rStyle w:val="ListParagraphChar"/>
          <w:b/>
        </w:rPr>
        <w:t>pportunity for diversifying housing mix</w:t>
      </w:r>
      <w:r w:rsidR="0093262B" w:rsidRPr="0093262B">
        <w:rPr>
          <w:rStyle w:val="ListParagraphChar"/>
          <w:b/>
        </w:rPr>
        <w:t>.</w:t>
      </w:r>
    </w:p>
    <w:p w:rsidR="000E2DF5" w:rsidRPr="001F2490" w:rsidRDefault="0093262B" w:rsidP="001F2490">
      <w:pPr>
        <w:ind w:left="1080"/>
        <w:rPr>
          <w:rStyle w:val="ListParagraphChar"/>
        </w:rPr>
      </w:pPr>
      <w:r w:rsidRPr="001F2490">
        <w:rPr>
          <w:rStyle w:val="ListParagraphChar"/>
        </w:rPr>
        <w:t xml:space="preserve">Whilst </w:t>
      </w:r>
      <w:r w:rsidR="0060053C" w:rsidRPr="001F2490">
        <w:rPr>
          <w:rStyle w:val="ListParagraphChar"/>
        </w:rPr>
        <w:t>Local Authorit</w:t>
      </w:r>
      <w:r w:rsidRPr="001F2490">
        <w:rPr>
          <w:rStyle w:val="ListParagraphChar"/>
        </w:rPr>
        <w:t>ies do have the ability to undertake mixed development activity</w:t>
      </w:r>
      <w:r w:rsidR="0060053C" w:rsidRPr="001F2490">
        <w:rPr>
          <w:rStyle w:val="ListParagraphChar"/>
        </w:rPr>
        <w:t xml:space="preserve">, the current arrangement allows </w:t>
      </w:r>
      <w:r w:rsidRPr="001F2490">
        <w:rPr>
          <w:rStyle w:val="ListParagraphChar"/>
        </w:rPr>
        <w:t xml:space="preserve">greater opportunity for OCHL to </w:t>
      </w:r>
      <w:r w:rsidR="000E2DF5" w:rsidRPr="001F2490">
        <w:rPr>
          <w:rStyle w:val="ListParagraphChar"/>
        </w:rPr>
        <w:t>diversify into the development</w:t>
      </w:r>
      <w:r w:rsidR="00A92765" w:rsidRPr="001F2490">
        <w:rPr>
          <w:rStyle w:val="ListParagraphChar"/>
        </w:rPr>
        <w:t xml:space="preserve"> of other tenures such as sub market rent in order to meet the housing need of </w:t>
      </w:r>
      <w:r w:rsidR="004F719F">
        <w:rPr>
          <w:rStyle w:val="ListParagraphChar"/>
        </w:rPr>
        <w:t xml:space="preserve"> a wider group</w:t>
      </w:r>
      <w:r w:rsidR="00B11586">
        <w:rPr>
          <w:rStyle w:val="ListParagraphChar"/>
        </w:rPr>
        <w:t>.</w:t>
      </w:r>
    </w:p>
    <w:p w:rsidR="0093262B" w:rsidRPr="0093262B" w:rsidRDefault="0093262B" w:rsidP="000E2DF5">
      <w:pPr>
        <w:pStyle w:val="ListParagraph"/>
        <w:numPr>
          <w:ilvl w:val="0"/>
          <w:numId w:val="41"/>
        </w:numPr>
        <w:rPr>
          <w:rStyle w:val="ListParagraphChar"/>
          <w:b/>
        </w:rPr>
      </w:pPr>
      <w:r w:rsidRPr="0093262B">
        <w:rPr>
          <w:rStyle w:val="ListParagraphChar"/>
          <w:b/>
        </w:rPr>
        <w:t xml:space="preserve">Recovery of funds already invested </w:t>
      </w:r>
    </w:p>
    <w:p w:rsidR="000E2DF5" w:rsidRDefault="0060053C" w:rsidP="001F2490">
      <w:pPr>
        <w:ind w:left="1080"/>
        <w:rPr>
          <w:rStyle w:val="ListParagraphChar"/>
        </w:rPr>
      </w:pPr>
      <w:r>
        <w:rPr>
          <w:rStyle w:val="ListParagraphChar"/>
        </w:rPr>
        <w:t xml:space="preserve">Approximately £1m </w:t>
      </w:r>
      <w:r w:rsidR="005C3220">
        <w:rPr>
          <w:rStyle w:val="ListParagraphChar"/>
        </w:rPr>
        <w:t>of set up costs</w:t>
      </w:r>
      <w:r>
        <w:rPr>
          <w:rStyle w:val="ListParagraphChar"/>
        </w:rPr>
        <w:t xml:space="preserve"> </w:t>
      </w:r>
      <w:r w:rsidR="000E2DF5">
        <w:rPr>
          <w:rStyle w:val="ListParagraphChar"/>
        </w:rPr>
        <w:t xml:space="preserve">incurred to </w:t>
      </w:r>
      <w:r>
        <w:rPr>
          <w:rStyle w:val="ListParagraphChar"/>
        </w:rPr>
        <w:t>March 2019</w:t>
      </w:r>
      <w:r w:rsidR="000E2DF5">
        <w:rPr>
          <w:rStyle w:val="ListParagraphChar"/>
        </w:rPr>
        <w:t xml:space="preserve"> by OCHL</w:t>
      </w:r>
      <w:r w:rsidR="004C6192">
        <w:rPr>
          <w:rStyle w:val="ListParagraphChar"/>
        </w:rPr>
        <w:t xml:space="preserve"> are planned to be covered by future sales receipts and this has always been part of OCHL strategy and business plan.</w:t>
      </w:r>
    </w:p>
    <w:p w:rsidR="0093262B" w:rsidRPr="0093262B" w:rsidRDefault="0093262B" w:rsidP="000E2DF5">
      <w:pPr>
        <w:pStyle w:val="ListParagraph"/>
        <w:numPr>
          <w:ilvl w:val="0"/>
          <w:numId w:val="41"/>
        </w:numPr>
        <w:rPr>
          <w:rStyle w:val="ListParagraphChar"/>
          <w:b/>
        </w:rPr>
      </w:pPr>
      <w:r>
        <w:rPr>
          <w:rStyle w:val="ListParagraphChar"/>
        </w:rPr>
        <w:t xml:space="preserve"> </w:t>
      </w:r>
      <w:r w:rsidRPr="0093262B">
        <w:rPr>
          <w:rStyle w:val="ListParagraphChar"/>
          <w:b/>
        </w:rPr>
        <w:t>Contribution to the MTFP</w:t>
      </w:r>
    </w:p>
    <w:p w:rsidR="00253DDC" w:rsidRDefault="00A92765" w:rsidP="00253DDC">
      <w:pPr>
        <w:tabs>
          <w:tab w:val="left" w:pos="1134"/>
        </w:tabs>
        <w:ind w:left="1080"/>
        <w:rPr>
          <w:rStyle w:val="ListParagraphChar"/>
        </w:rPr>
      </w:pPr>
      <w:r>
        <w:rPr>
          <w:rStyle w:val="ListParagraphChar"/>
        </w:rPr>
        <w:t xml:space="preserve">There would be a </w:t>
      </w:r>
      <w:r w:rsidR="0060053C">
        <w:rPr>
          <w:rStyle w:val="ListParagraphChar"/>
        </w:rPr>
        <w:t xml:space="preserve">significant </w:t>
      </w:r>
      <w:r>
        <w:rPr>
          <w:rStyle w:val="ListParagraphChar"/>
        </w:rPr>
        <w:t xml:space="preserve">negative </w:t>
      </w:r>
      <w:r w:rsidR="002B4040">
        <w:rPr>
          <w:rStyle w:val="ListParagraphChar"/>
        </w:rPr>
        <w:t>impact on</w:t>
      </w:r>
      <w:r>
        <w:rPr>
          <w:rStyle w:val="ListParagraphChar"/>
        </w:rPr>
        <w:t xml:space="preserve"> the Council’s</w:t>
      </w:r>
      <w:r w:rsidR="0060053C">
        <w:rPr>
          <w:rStyle w:val="ListParagraphChar"/>
        </w:rPr>
        <w:t xml:space="preserve"> current and on-going </w:t>
      </w:r>
      <w:r>
        <w:rPr>
          <w:rStyle w:val="ListParagraphChar"/>
        </w:rPr>
        <w:t>MTFP</w:t>
      </w:r>
      <w:r w:rsidR="004C6192">
        <w:rPr>
          <w:rStyle w:val="ListParagraphChar"/>
        </w:rPr>
        <w:t>.</w:t>
      </w:r>
    </w:p>
    <w:p w:rsidR="0093262B" w:rsidRPr="00253DDC" w:rsidRDefault="0093262B" w:rsidP="00253DDC">
      <w:pPr>
        <w:pStyle w:val="ListParagraph"/>
        <w:numPr>
          <w:ilvl w:val="0"/>
          <w:numId w:val="41"/>
        </w:numPr>
        <w:tabs>
          <w:tab w:val="left" w:pos="1134"/>
        </w:tabs>
        <w:rPr>
          <w:rStyle w:val="ListParagraphChar"/>
          <w:b/>
        </w:rPr>
      </w:pPr>
      <w:r w:rsidRPr="00253DDC">
        <w:rPr>
          <w:rStyle w:val="ListParagraphChar"/>
          <w:b/>
        </w:rPr>
        <w:t>Balancing risk</w:t>
      </w:r>
    </w:p>
    <w:p w:rsidR="00A92765" w:rsidRDefault="0060053C" w:rsidP="001F2490">
      <w:pPr>
        <w:ind w:left="1080"/>
        <w:rPr>
          <w:rStyle w:val="ListParagraphChar"/>
        </w:rPr>
      </w:pPr>
      <w:r>
        <w:rPr>
          <w:rStyle w:val="ListParagraphChar"/>
        </w:rPr>
        <w:t xml:space="preserve">It completely de-risks the development activity out of the HRA and </w:t>
      </w:r>
      <w:r w:rsidR="00B11586">
        <w:rPr>
          <w:rStyle w:val="ListParagraphChar"/>
        </w:rPr>
        <w:t>therefore does not impact on</w:t>
      </w:r>
      <w:r>
        <w:rPr>
          <w:rStyle w:val="ListParagraphChar"/>
        </w:rPr>
        <w:t xml:space="preserve"> the investment</w:t>
      </w:r>
      <w:r w:rsidR="00B11586">
        <w:rPr>
          <w:rStyle w:val="ListParagraphChar"/>
        </w:rPr>
        <w:t xml:space="preserve"> in</w:t>
      </w:r>
      <w:r>
        <w:rPr>
          <w:rStyle w:val="ListParagraphChar"/>
        </w:rPr>
        <w:t xml:space="preserve"> and</w:t>
      </w:r>
      <w:r w:rsidR="00B11586">
        <w:rPr>
          <w:rStyle w:val="ListParagraphChar"/>
        </w:rPr>
        <w:t xml:space="preserve"> the management and maintenance</w:t>
      </w:r>
      <w:r>
        <w:rPr>
          <w:rStyle w:val="ListParagraphChar"/>
        </w:rPr>
        <w:t xml:space="preserve"> of the Council’s existing stock</w:t>
      </w:r>
      <w:r w:rsidR="006C7D1E">
        <w:rPr>
          <w:rStyle w:val="ListParagraphChar"/>
        </w:rPr>
        <w:t>.</w:t>
      </w:r>
    </w:p>
    <w:p w:rsidR="00A92765" w:rsidRDefault="00A92765" w:rsidP="00A92765">
      <w:pPr>
        <w:pStyle w:val="ListParagraph"/>
        <w:numPr>
          <w:ilvl w:val="0"/>
          <w:numId w:val="14"/>
        </w:numPr>
        <w:rPr>
          <w:rStyle w:val="ListParagraphChar"/>
        </w:rPr>
      </w:pPr>
      <w:r>
        <w:rPr>
          <w:rStyle w:val="ListParagraphChar"/>
        </w:rPr>
        <w:t>It is therefore proposed that OCHL continues with the current development and Barton acquisition programme</w:t>
      </w:r>
    </w:p>
    <w:p w:rsidR="00DE5C36" w:rsidRDefault="00DE5C36" w:rsidP="001F2490">
      <w:pPr>
        <w:pStyle w:val="ListParagraph"/>
        <w:ind w:left="644"/>
        <w:rPr>
          <w:rStyle w:val="ListParagraphChar"/>
          <w:b/>
        </w:rPr>
      </w:pPr>
    </w:p>
    <w:p w:rsidR="001F2490" w:rsidRPr="001F2490" w:rsidRDefault="001F2490" w:rsidP="001F2490">
      <w:pPr>
        <w:pStyle w:val="ListParagraph"/>
        <w:ind w:left="644"/>
        <w:rPr>
          <w:rStyle w:val="ListParagraphChar"/>
          <w:b/>
        </w:rPr>
      </w:pPr>
      <w:r w:rsidRPr="001F2490">
        <w:rPr>
          <w:rStyle w:val="ListParagraphChar"/>
          <w:b/>
        </w:rPr>
        <w:t>Management of housing stock</w:t>
      </w:r>
    </w:p>
    <w:p w:rsidR="00F0340E" w:rsidRDefault="00A92765" w:rsidP="00A92765">
      <w:pPr>
        <w:pStyle w:val="ListParagraph"/>
        <w:numPr>
          <w:ilvl w:val="0"/>
          <w:numId w:val="14"/>
        </w:numPr>
        <w:rPr>
          <w:rStyle w:val="ListParagraphChar"/>
        </w:rPr>
      </w:pPr>
      <w:r>
        <w:rPr>
          <w:rStyle w:val="ListParagraphChar"/>
        </w:rPr>
        <w:t xml:space="preserve">The additional </w:t>
      </w:r>
      <w:r w:rsidR="00AA0594">
        <w:rPr>
          <w:rStyle w:val="ListParagraphChar"/>
        </w:rPr>
        <w:t xml:space="preserve">HRA </w:t>
      </w:r>
      <w:r>
        <w:rPr>
          <w:rStyle w:val="ListParagraphChar"/>
        </w:rPr>
        <w:t xml:space="preserve">borrowing headroom provides an opportunity for a more efficient and coherent model for the management of the Council’s social housing stock and for OCHL to concentrate almost exclusively on </w:t>
      </w:r>
      <w:r w:rsidR="00AA0594">
        <w:rPr>
          <w:rStyle w:val="ListParagraphChar"/>
        </w:rPr>
        <w:t>development. The</w:t>
      </w:r>
      <w:r>
        <w:rPr>
          <w:rStyle w:val="ListParagraphChar"/>
        </w:rPr>
        <w:t xml:space="preserve"> </w:t>
      </w:r>
      <w:r>
        <w:rPr>
          <w:rStyle w:val="ListParagraphChar"/>
        </w:rPr>
        <w:lastRenderedPageBreak/>
        <w:t>Council</w:t>
      </w:r>
      <w:r w:rsidR="004C6192">
        <w:rPr>
          <w:rStyle w:val="ListParagraphChar"/>
        </w:rPr>
        <w:t xml:space="preserve"> through its HRA</w:t>
      </w:r>
      <w:r>
        <w:rPr>
          <w:rStyle w:val="ListParagraphChar"/>
        </w:rPr>
        <w:t xml:space="preserve"> would buy the social rented </w:t>
      </w:r>
      <w:r w:rsidR="00AA0594">
        <w:rPr>
          <w:rStyle w:val="ListParagraphChar"/>
        </w:rPr>
        <w:t xml:space="preserve">and shared ownership units from OCHL. This is a </w:t>
      </w:r>
      <w:r w:rsidR="00ED0000">
        <w:rPr>
          <w:rStyle w:val="ListParagraphChar"/>
        </w:rPr>
        <w:t>tidier</w:t>
      </w:r>
      <w:r w:rsidR="00AA0594">
        <w:rPr>
          <w:rStyle w:val="ListParagraphChar"/>
        </w:rPr>
        <w:t xml:space="preserve"> position in that tenants would be clearer with regard to rights and responsibilities</w:t>
      </w:r>
      <w:r w:rsidR="001F2490">
        <w:rPr>
          <w:rStyle w:val="ListParagraphChar"/>
        </w:rPr>
        <w:t>.</w:t>
      </w:r>
      <w:r w:rsidR="00AA0594">
        <w:rPr>
          <w:rStyle w:val="ListParagraphChar"/>
        </w:rPr>
        <w:t xml:space="preserve"> </w:t>
      </w:r>
      <w:r w:rsidR="00856FD4">
        <w:rPr>
          <w:rStyle w:val="ListParagraphChar"/>
        </w:rPr>
        <w:t>The Council</w:t>
      </w:r>
      <w:r w:rsidR="00AA0594">
        <w:rPr>
          <w:rStyle w:val="ListParagraphChar"/>
        </w:rPr>
        <w:t xml:space="preserve"> would need to build capability to manage shared ownership which it would in any event need to do on behalf of OCHL and work is underway in preparation for this. The exception to this however is that the acquisition and ownership of the Barton units would remain with OCHL as this purchase is integral to </w:t>
      </w:r>
      <w:r w:rsidR="006C7D1E">
        <w:rPr>
          <w:rStyle w:val="ListParagraphChar"/>
        </w:rPr>
        <w:t xml:space="preserve">meeting existing </w:t>
      </w:r>
      <w:r w:rsidR="00AA0594">
        <w:rPr>
          <w:rStyle w:val="ListParagraphChar"/>
        </w:rPr>
        <w:t>MTFP assumptions and the timing of handovers on the first phase. Another considerable advantage of this option is that it would avoid the need for OCHL to establish a Registered Provider subsidiary. This is because grant provided from the Growth Deal required for a number of sites to deliver a minimum of 50% affordable</w:t>
      </w:r>
      <w:r w:rsidR="00856FD4">
        <w:rPr>
          <w:rStyle w:val="ListParagraphChar"/>
        </w:rPr>
        <w:t xml:space="preserve"> housing</w:t>
      </w:r>
      <w:r w:rsidR="00AA0594">
        <w:rPr>
          <w:rStyle w:val="ListParagraphChar"/>
        </w:rPr>
        <w:t xml:space="preserve"> could now be drawn down through the HRA</w:t>
      </w:r>
      <w:r w:rsidR="006C7D1E">
        <w:rPr>
          <w:rStyle w:val="ListParagraphChar"/>
        </w:rPr>
        <w:t xml:space="preserve"> being an automatically registered entity.</w:t>
      </w:r>
    </w:p>
    <w:p w:rsidR="00F0340E" w:rsidRDefault="00F0340E" w:rsidP="00A92765">
      <w:pPr>
        <w:pStyle w:val="ListParagraph"/>
        <w:numPr>
          <w:ilvl w:val="0"/>
          <w:numId w:val="14"/>
        </w:numPr>
        <w:rPr>
          <w:rStyle w:val="ListParagraphChar"/>
        </w:rPr>
      </w:pPr>
      <w:r>
        <w:rPr>
          <w:rStyle w:val="ListParagraphChar"/>
        </w:rPr>
        <w:t>It is therefore proposed that OCHL will continue with the current development programme with the HRA purchasing the social rented and shared ownership units. Barton Park social rented units would continue to be acquired by OCHL.</w:t>
      </w:r>
    </w:p>
    <w:p w:rsidR="00343FC0" w:rsidRDefault="00343FC0" w:rsidP="001F2490">
      <w:pPr>
        <w:pStyle w:val="ListParagraph"/>
        <w:ind w:left="644"/>
        <w:rPr>
          <w:rStyle w:val="ListParagraphChar"/>
          <w:b/>
        </w:rPr>
      </w:pPr>
    </w:p>
    <w:p w:rsidR="001F2490" w:rsidRPr="001F2490" w:rsidRDefault="001F2490" w:rsidP="001F2490">
      <w:pPr>
        <w:pStyle w:val="ListParagraph"/>
        <w:ind w:left="644"/>
        <w:rPr>
          <w:rStyle w:val="ListParagraphChar"/>
          <w:b/>
        </w:rPr>
      </w:pPr>
      <w:r w:rsidRPr="001F2490">
        <w:rPr>
          <w:rStyle w:val="ListParagraphChar"/>
          <w:b/>
        </w:rPr>
        <w:t>Transfer of voids</w:t>
      </w:r>
    </w:p>
    <w:p w:rsidR="001F2490" w:rsidRPr="00970334" w:rsidRDefault="00F0340E" w:rsidP="001F2490">
      <w:pPr>
        <w:pStyle w:val="ListParagraph"/>
        <w:numPr>
          <w:ilvl w:val="0"/>
          <w:numId w:val="14"/>
        </w:numPr>
        <w:ind w:left="644"/>
        <w:rPr>
          <w:rStyle w:val="ListParagraphChar"/>
          <w:b/>
          <w:color w:val="auto"/>
        </w:rPr>
      </w:pPr>
      <w:r>
        <w:rPr>
          <w:rStyle w:val="ListParagraphChar"/>
        </w:rPr>
        <w:t xml:space="preserve">The HRA </w:t>
      </w:r>
      <w:r w:rsidR="00A51709">
        <w:rPr>
          <w:rStyle w:val="ListParagraphChar"/>
        </w:rPr>
        <w:t>‘trickle’</w:t>
      </w:r>
      <w:r>
        <w:rPr>
          <w:rStyle w:val="ListParagraphChar"/>
        </w:rPr>
        <w:t xml:space="preserve"> transfer of 5 voids per year to OCHL was initially agreed for two main reasons. Firstly the HRA had developed an initiative to identify void properties with the potential for extension and /or development. The previous government policy changes that negatively impacted the HRA</w:t>
      </w:r>
      <w:r w:rsidR="00EE72E5">
        <w:rPr>
          <w:rStyle w:val="ListParagraphChar"/>
        </w:rPr>
        <w:t xml:space="preserve"> threatened</w:t>
      </w:r>
      <w:r w:rsidR="005144F3">
        <w:rPr>
          <w:rStyle w:val="ListParagraphChar"/>
        </w:rPr>
        <w:t xml:space="preserve"> to affect</w:t>
      </w:r>
      <w:r w:rsidR="00EE72E5">
        <w:rPr>
          <w:rStyle w:val="ListParagraphChar"/>
        </w:rPr>
        <w:t xml:space="preserve"> the continuation of this initiative so the activity was transferred to OCHL. The second reason was to provide income back to the HRA (</w:t>
      </w:r>
      <w:r w:rsidR="001F2490">
        <w:rPr>
          <w:rStyle w:val="ListParagraphChar"/>
        </w:rPr>
        <w:t>through</w:t>
      </w:r>
      <w:r w:rsidR="00EE72E5">
        <w:rPr>
          <w:rStyle w:val="ListParagraphChar"/>
        </w:rPr>
        <w:t xml:space="preserve"> purchase by OCHL) to help fund the high value asset levy; this</w:t>
      </w:r>
      <w:r w:rsidR="006C7D1E">
        <w:rPr>
          <w:rStyle w:val="ListParagraphChar"/>
        </w:rPr>
        <w:t xml:space="preserve"> initiative</w:t>
      </w:r>
      <w:r w:rsidR="00EE72E5">
        <w:rPr>
          <w:rStyle w:val="ListParagraphChar"/>
        </w:rPr>
        <w:t xml:space="preserve"> has now been abandoned</w:t>
      </w:r>
      <w:r w:rsidR="006C7D1E">
        <w:rPr>
          <w:rStyle w:val="ListParagraphChar"/>
        </w:rPr>
        <w:t xml:space="preserve"> by Government</w:t>
      </w:r>
      <w:r w:rsidR="00EE72E5">
        <w:rPr>
          <w:rStyle w:val="ListParagraphChar"/>
        </w:rPr>
        <w:t xml:space="preserve">. It is </w:t>
      </w:r>
      <w:r w:rsidR="006C7D1E">
        <w:rPr>
          <w:rStyle w:val="ListParagraphChar"/>
        </w:rPr>
        <w:t xml:space="preserve">therefore </w:t>
      </w:r>
      <w:r w:rsidR="00EE72E5">
        <w:rPr>
          <w:rStyle w:val="ListParagraphChar"/>
        </w:rPr>
        <w:t>proposed that the transfer of voids that are not suitable for development is ceased</w:t>
      </w:r>
      <w:r w:rsidR="006C7D1E">
        <w:rPr>
          <w:rStyle w:val="ListParagraphChar"/>
        </w:rPr>
        <w:t xml:space="preserve"> after the </w:t>
      </w:r>
      <w:r w:rsidR="005144F3">
        <w:rPr>
          <w:rStyle w:val="ListParagraphChar"/>
        </w:rPr>
        <w:t>20</w:t>
      </w:r>
      <w:r w:rsidR="006C7D1E">
        <w:rPr>
          <w:rStyle w:val="ListParagraphChar"/>
        </w:rPr>
        <w:t>18/</w:t>
      </w:r>
      <w:r w:rsidR="005144F3">
        <w:rPr>
          <w:rStyle w:val="ListParagraphChar"/>
        </w:rPr>
        <w:t>20</w:t>
      </w:r>
      <w:r w:rsidR="006C7D1E">
        <w:rPr>
          <w:rStyle w:val="ListParagraphChar"/>
        </w:rPr>
        <w:t>19 financial year</w:t>
      </w:r>
      <w:r w:rsidR="00EE72E5">
        <w:rPr>
          <w:rStyle w:val="ListParagraphChar"/>
        </w:rPr>
        <w:t xml:space="preserve"> as there is no</w:t>
      </w:r>
      <w:r w:rsidR="006C7D1E">
        <w:rPr>
          <w:rStyle w:val="ListParagraphChar"/>
        </w:rPr>
        <w:t>w no perceived</w:t>
      </w:r>
      <w:r w:rsidR="00EE72E5">
        <w:rPr>
          <w:rStyle w:val="ListParagraphChar"/>
        </w:rPr>
        <w:t xml:space="preserve"> benefit and</w:t>
      </w:r>
      <w:r w:rsidR="006C7D1E">
        <w:rPr>
          <w:rStyle w:val="ListParagraphChar"/>
        </w:rPr>
        <w:t xml:space="preserve"> it </w:t>
      </w:r>
      <w:r w:rsidR="00EE72E5">
        <w:rPr>
          <w:rStyle w:val="ListParagraphChar"/>
        </w:rPr>
        <w:t xml:space="preserve">adds complexity in housing management terms. </w:t>
      </w:r>
      <w:r w:rsidR="001A12B9">
        <w:rPr>
          <w:rStyle w:val="ListParagraphChar"/>
        </w:rPr>
        <w:t>It is proposed t</w:t>
      </w:r>
      <w:r w:rsidR="00EE72E5">
        <w:rPr>
          <w:rStyle w:val="ListParagraphChar"/>
        </w:rPr>
        <w:t>he initiative to extend or redevelop voids should continue</w:t>
      </w:r>
      <w:r w:rsidR="001A12B9">
        <w:rPr>
          <w:rStyle w:val="ListParagraphChar"/>
        </w:rPr>
        <w:t xml:space="preserve"> with OCHL</w:t>
      </w:r>
      <w:r w:rsidR="00EE72E5">
        <w:rPr>
          <w:rStyle w:val="ListParagraphChar"/>
        </w:rPr>
        <w:t xml:space="preserve"> in order to deliver larger units. Experience shows that there are only a small number (3-4) suitable each year</w:t>
      </w:r>
      <w:r w:rsidR="001A12B9">
        <w:rPr>
          <w:rStyle w:val="ListParagraphChar"/>
        </w:rPr>
        <w:t>. It should be noted that this activity could be constrained as the Council has a Government imposed limit of 5 units or pieces of land that can be transferred each year</w:t>
      </w:r>
      <w:r w:rsidR="005144F3">
        <w:rPr>
          <w:rStyle w:val="ListParagraphChar"/>
        </w:rPr>
        <w:t xml:space="preserve"> under a general consent</w:t>
      </w:r>
      <w:r w:rsidR="001A12B9">
        <w:rPr>
          <w:rStyle w:val="ListParagraphChar"/>
        </w:rPr>
        <w:t>. If th</w:t>
      </w:r>
      <w:r w:rsidR="005144F3">
        <w:rPr>
          <w:rStyle w:val="ListParagraphChar"/>
        </w:rPr>
        <w:t xml:space="preserve">e limit of 5 units transferred from the HRA to OCHL was reached </w:t>
      </w:r>
      <w:r w:rsidR="001A12B9">
        <w:rPr>
          <w:rStyle w:val="ListParagraphChar"/>
        </w:rPr>
        <w:t xml:space="preserve"> in any one year then</w:t>
      </w:r>
      <w:r w:rsidR="004C6192">
        <w:rPr>
          <w:rStyle w:val="ListParagraphChar"/>
        </w:rPr>
        <w:t xml:space="preserve"> as a fall back option the</w:t>
      </w:r>
      <w:r w:rsidR="001A12B9">
        <w:rPr>
          <w:rStyle w:val="ListParagraphChar"/>
        </w:rPr>
        <w:t xml:space="preserve"> development could </w:t>
      </w:r>
      <w:r w:rsidR="004C6192">
        <w:rPr>
          <w:rStyle w:val="ListParagraphChar"/>
        </w:rPr>
        <w:t xml:space="preserve">alternatively </w:t>
      </w:r>
      <w:r w:rsidR="001A12B9">
        <w:rPr>
          <w:rStyle w:val="ListParagraphChar"/>
        </w:rPr>
        <w:t>take place within the HRA</w:t>
      </w:r>
    </w:p>
    <w:p w:rsidR="001F2490" w:rsidRPr="001F2490" w:rsidRDefault="001F2490" w:rsidP="001F2490">
      <w:pPr>
        <w:pStyle w:val="ListParagraph"/>
        <w:ind w:left="644"/>
        <w:rPr>
          <w:rStyle w:val="ListParagraphChar"/>
          <w:b/>
        </w:rPr>
      </w:pPr>
      <w:r w:rsidRPr="001F2490">
        <w:rPr>
          <w:rStyle w:val="ListParagraphChar"/>
          <w:b/>
          <w:color w:val="auto"/>
        </w:rPr>
        <w:t>Potential future OCHL development sites</w:t>
      </w:r>
    </w:p>
    <w:p w:rsidR="00866BEE" w:rsidRPr="00A51709" w:rsidRDefault="00866BEE" w:rsidP="00A92765">
      <w:pPr>
        <w:pStyle w:val="ListParagraph"/>
        <w:numPr>
          <w:ilvl w:val="0"/>
          <w:numId w:val="14"/>
        </w:numPr>
        <w:rPr>
          <w:rStyle w:val="ListParagraphChar"/>
        </w:rPr>
      </w:pPr>
      <w:r>
        <w:rPr>
          <w:rStyle w:val="ListParagraphChar"/>
          <w:color w:val="auto"/>
        </w:rPr>
        <w:t xml:space="preserve">The Council is continuing to bring forward additional potential sites and </w:t>
      </w:r>
      <w:r w:rsidR="000C3A25">
        <w:rPr>
          <w:rStyle w:val="ListParagraphChar"/>
          <w:color w:val="auto"/>
        </w:rPr>
        <w:t>ha</w:t>
      </w:r>
      <w:r w:rsidR="005144F3">
        <w:rPr>
          <w:rStyle w:val="ListParagraphChar"/>
          <w:color w:val="auto"/>
        </w:rPr>
        <w:t>s</w:t>
      </w:r>
      <w:r w:rsidR="000C3A25">
        <w:rPr>
          <w:rStyle w:val="ListParagraphChar"/>
          <w:color w:val="auto"/>
        </w:rPr>
        <w:t xml:space="preserve"> appointed professional teams to assess the feasibility of the sites listed below with further site feasibilities currently being tendered</w:t>
      </w:r>
      <w:r w:rsidR="0057332A">
        <w:rPr>
          <w:rStyle w:val="ListParagraphChar"/>
          <w:color w:val="auto"/>
        </w:rPr>
        <w:t>.</w:t>
      </w:r>
    </w:p>
    <w:tbl>
      <w:tblPr>
        <w:tblStyle w:val="TableGrid"/>
        <w:tblW w:w="0" w:type="auto"/>
        <w:tblInd w:w="785" w:type="dxa"/>
        <w:tblLook w:val="04A0" w:firstRow="1" w:lastRow="0" w:firstColumn="1" w:lastColumn="0" w:noHBand="0" w:noVBand="1"/>
      </w:tblPr>
      <w:tblGrid>
        <w:gridCol w:w="4281"/>
        <w:gridCol w:w="4222"/>
      </w:tblGrid>
      <w:tr w:rsidR="0057332A" w:rsidTr="00A51709">
        <w:tc>
          <w:tcPr>
            <w:tcW w:w="4281" w:type="dxa"/>
          </w:tcPr>
          <w:p w:rsidR="0057332A" w:rsidRDefault="0057332A" w:rsidP="0057332A">
            <w:pPr>
              <w:pStyle w:val="ListParagraph"/>
              <w:rPr>
                <w:rStyle w:val="ListParagraphChar"/>
              </w:rPr>
            </w:pPr>
            <w:r>
              <w:rPr>
                <w:rStyle w:val="ListParagraphChar"/>
              </w:rPr>
              <w:t>Hill View Farm</w:t>
            </w:r>
          </w:p>
        </w:tc>
        <w:tc>
          <w:tcPr>
            <w:tcW w:w="4222" w:type="dxa"/>
          </w:tcPr>
          <w:p w:rsidR="0057332A" w:rsidRDefault="00C95169" w:rsidP="0057332A">
            <w:pPr>
              <w:pStyle w:val="ListParagraph"/>
              <w:rPr>
                <w:rStyle w:val="ListParagraphChar"/>
              </w:rPr>
            </w:pPr>
            <w:r>
              <w:rPr>
                <w:rStyle w:val="ListParagraphChar"/>
              </w:rPr>
              <w:t>c80 units</w:t>
            </w:r>
          </w:p>
        </w:tc>
      </w:tr>
      <w:tr w:rsidR="0057332A" w:rsidTr="00A51709">
        <w:tc>
          <w:tcPr>
            <w:tcW w:w="4281" w:type="dxa"/>
          </w:tcPr>
          <w:p w:rsidR="0057332A" w:rsidRDefault="00C95169" w:rsidP="0057332A">
            <w:pPr>
              <w:pStyle w:val="ListParagraph"/>
              <w:rPr>
                <w:rStyle w:val="ListParagraphChar"/>
              </w:rPr>
            </w:pPr>
            <w:r>
              <w:rPr>
                <w:rStyle w:val="ListParagraphChar"/>
              </w:rPr>
              <w:t>Goose Green</w:t>
            </w:r>
          </w:p>
        </w:tc>
        <w:tc>
          <w:tcPr>
            <w:tcW w:w="4222" w:type="dxa"/>
          </w:tcPr>
          <w:p w:rsidR="0057332A" w:rsidRDefault="000C3A25" w:rsidP="0057332A">
            <w:pPr>
              <w:pStyle w:val="ListParagraph"/>
              <w:rPr>
                <w:rStyle w:val="ListParagraphChar"/>
              </w:rPr>
            </w:pPr>
            <w:r>
              <w:rPr>
                <w:rStyle w:val="ListParagraphChar"/>
              </w:rPr>
              <w:t>c</w:t>
            </w:r>
            <w:r w:rsidR="00C95169">
              <w:rPr>
                <w:rStyle w:val="ListParagraphChar"/>
              </w:rPr>
              <w:t>60 units</w:t>
            </w:r>
          </w:p>
        </w:tc>
      </w:tr>
      <w:tr w:rsidR="0057332A" w:rsidTr="00A51709">
        <w:tc>
          <w:tcPr>
            <w:tcW w:w="4281" w:type="dxa"/>
          </w:tcPr>
          <w:p w:rsidR="0057332A" w:rsidRDefault="00C95169" w:rsidP="0057332A">
            <w:pPr>
              <w:pStyle w:val="ListParagraph"/>
              <w:rPr>
                <w:rStyle w:val="ListParagraphChar"/>
              </w:rPr>
            </w:pPr>
            <w:r>
              <w:rPr>
                <w:rStyle w:val="ListParagraphChar"/>
              </w:rPr>
              <w:t>Bertie Place</w:t>
            </w:r>
          </w:p>
        </w:tc>
        <w:tc>
          <w:tcPr>
            <w:tcW w:w="4222" w:type="dxa"/>
          </w:tcPr>
          <w:p w:rsidR="0057332A" w:rsidRDefault="000C3A25" w:rsidP="0057332A">
            <w:pPr>
              <w:pStyle w:val="ListParagraph"/>
              <w:rPr>
                <w:rStyle w:val="ListParagraphChar"/>
              </w:rPr>
            </w:pPr>
            <w:r>
              <w:rPr>
                <w:rStyle w:val="ListParagraphChar"/>
              </w:rPr>
              <w:t>c</w:t>
            </w:r>
            <w:r w:rsidR="00C95169">
              <w:rPr>
                <w:rStyle w:val="ListParagraphChar"/>
              </w:rPr>
              <w:t>30 units</w:t>
            </w:r>
          </w:p>
        </w:tc>
      </w:tr>
      <w:tr w:rsidR="0057332A" w:rsidTr="00A51709">
        <w:tc>
          <w:tcPr>
            <w:tcW w:w="4281" w:type="dxa"/>
          </w:tcPr>
          <w:p w:rsidR="0057332A" w:rsidRDefault="00C95169" w:rsidP="0057332A">
            <w:pPr>
              <w:pStyle w:val="ListParagraph"/>
              <w:rPr>
                <w:rStyle w:val="ListParagraphChar"/>
              </w:rPr>
            </w:pPr>
            <w:r>
              <w:rPr>
                <w:rStyle w:val="ListParagraphChar"/>
              </w:rPr>
              <w:t>Redbridge Paddock</w:t>
            </w:r>
          </w:p>
        </w:tc>
        <w:tc>
          <w:tcPr>
            <w:tcW w:w="4222" w:type="dxa"/>
          </w:tcPr>
          <w:p w:rsidR="0057332A" w:rsidRDefault="000C3A25" w:rsidP="0057332A">
            <w:pPr>
              <w:pStyle w:val="ListParagraph"/>
              <w:rPr>
                <w:rStyle w:val="ListParagraphChar"/>
              </w:rPr>
            </w:pPr>
            <w:r>
              <w:rPr>
                <w:rStyle w:val="ListParagraphChar"/>
              </w:rPr>
              <w:t>c175 units</w:t>
            </w:r>
          </w:p>
        </w:tc>
      </w:tr>
      <w:tr w:rsidR="0057332A" w:rsidTr="00A51709">
        <w:tc>
          <w:tcPr>
            <w:tcW w:w="4281" w:type="dxa"/>
          </w:tcPr>
          <w:p w:rsidR="0057332A" w:rsidRDefault="000C3A25" w:rsidP="0057332A">
            <w:pPr>
              <w:pStyle w:val="ListParagraph"/>
              <w:rPr>
                <w:rStyle w:val="ListParagraphChar"/>
              </w:rPr>
            </w:pPr>
            <w:r>
              <w:rPr>
                <w:rStyle w:val="ListParagraphChar"/>
              </w:rPr>
              <w:t>Westlands Drive</w:t>
            </w:r>
          </w:p>
        </w:tc>
        <w:tc>
          <w:tcPr>
            <w:tcW w:w="4222" w:type="dxa"/>
          </w:tcPr>
          <w:p w:rsidR="0057332A" w:rsidRDefault="000C3A25" w:rsidP="0057332A">
            <w:pPr>
              <w:pStyle w:val="ListParagraph"/>
              <w:rPr>
                <w:rStyle w:val="ListParagraphChar"/>
              </w:rPr>
            </w:pPr>
            <w:r>
              <w:rPr>
                <w:rStyle w:val="ListParagraphChar"/>
              </w:rPr>
              <w:t>c15 units</w:t>
            </w:r>
          </w:p>
        </w:tc>
      </w:tr>
    </w:tbl>
    <w:p w:rsidR="0057332A" w:rsidRPr="00866BEE" w:rsidRDefault="0057332A" w:rsidP="00A51709">
      <w:pPr>
        <w:pStyle w:val="ListParagraph"/>
        <w:ind w:left="785"/>
        <w:rPr>
          <w:rStyle w:val="ListParagraphChar"/>
        </w:rPr>
      </w:pPr>
    </w:p>
    <w:p w:rsidR="00F77C1D" w:rsidRDefault="00866BEE" w:rsidP="00C22D21">
      <w:pPr>
        <w:ind w:left="644"/>
        <w:rPr>
          <w:rStyle w:val="ListParagraphChar"/>
          <w:color w:val="auto"/>
        </w:rPr>
      </w:pPr>
      <w:r w:rsidRPr="00866BEE">
        <w:rPr>
          <w:rStyle w:val="ListParagraphChar"/>
          <w:color w:val="auto"/>
        </w:rPr>
        <w:t>These</w:t>
      </w:r>
      <w:r>
        <w:rPr>
          <w:rStyle w:val="ListParagraphChar"/>
          <w:color w:val="auto"/>
        </w:rPr>
        <w:t xml:space="preserve"> can either be developed using funding directly from the HRA or by OCHL</w:t>
      </w:r>
      <w:r w:rsidR="006C7D1E">
        <w:rPr>
          <w:rStyle w:val="ListParagraphChar"/>
          <w:color w:val="auto"/>
        </w:rPr>
        <w:t xml:space="preserve"> and subsequently sold to the HRA</w:t>
      </w:r>
      <w:r>
        <w:rPr>
          <w:rStyle w:val="ListParagraphChar"/>
          <w:color w:val="auto"/>
        </w:rPr>
        <w:t>.</w:t>
      </w:r>
      <w:r w:rsidR="00F77C1D">
        <w:rPr>
          <w:rStyle w:val="ListParagraphChar"/>
          <w:color w:val="auto"/>
        </w:rPr>
        <w:t xml:space="preserve"> </w:t>
      </w:r>
      <w:proofErr w:type="gramStart"/>
      <w:r w:rsidR="00C1371B">
        <w:rPr>
          <w:rStyle w:val="ListParagraphChar"/>
          <w:color w:val="auto"/>
        </w:rPr>
        <w:t xml:space="preserve">Cabinet </w:t>
      </w:r>
      <w:r w:rsidR="00F77C1D">
        <w:rPr>
          <w:rStyle w:val="ListParagraphChar"/>
          <w:color w:val="auto"/>
        </w:rPr>
        <w:t xml:space="preserve"> will</w:t>
      </w:r>
      <w:proofErr w:type="gramEnd"/>
      <w:r w:rsidR="00F77C1D">
        <w:rPr>
          <w:rStyle w:val="ListParagraphChar"/>
          <w:color w:val="auto"/>
        </w:rPr>
        <w:t xml:space="preserve"> receive a future report for consideration of the most appropriate route following the completion</w:t>
      </w:r>
      <w:r w:rsidR="00901A9B">
        <w:rPr>
          <w:rStyle w:val="ListParagraphChar"/>
          <w:color w:val="auto"/>
        </w:rPr>
        <w:t xml:space="preserve"> of phase 2 of the review and this will be aligned to the </w:t>
      </w:r>
      <w:r w:rsidR="004F7560">
        <w:rPr>
          <w:rStyle w:val="ListParagraphChar"/>
          <w:color w:val="auto"/>
        </w:rPr>
        <w:t>20</w:t>
      </w:r>
      <w:r w:rsidR="00901A9B">
        <w:rPr>
          <w:rStyle w:val="ListParagraphChar"/>
          <w:color w:val="auto"/>
        </w:rPr>
        <w:t>20/21 budget setting</w:t>
      </w:r>
      <w:r w:rsidR="004F7560">
        <w:rPr>
          <w:rStyle w:val="ListParagraphChar"/>
          <w:color w:val="auto"/>
        </w:rPr>
        <w:t xml:space="preserve"> timetable</w:t>
      </w:r>
      <w:r w:rsidR="003D3278">
        <w:rPr>
          <w:rStyle w:val="ListParagraphChar"/>
          <w:color w:val="auto"/>
        </w:rPr>
        <w:t>.</w:t>
      </w:r>
    </w:p>
    <w:p w:rsidR="003D3278" w:rsidRDefault="003D3278" w:rsidP="00C22D21">
      <w:pPr>
        <w:ind w:left="644"/>
        <w:rPr>
          <w:rStyle w:val="ListParagraphChar"/>
          <w:color w:val="auto"/>
        </w:rPr>
      </w:pPr>
    </w:p>
    <w:p w:rsidR="004455D2" w:rsidRPr="004455D2" w:rsidRDefault="004455D2" w:rsidP="004455D2">
      <w:pPr>
        <w:pStyle w:val="ListParagraph"/>
        <w:ind w:left="644"/>
        <w:rPr>
          <w:rStyle w:val="ListParagraphChar"/>
          <w:b/>
          <w:color w:val="auto"/>
        </w:rPr>
      </w:pPr>
      <w:r w:rsidRPr="004455D2">
        <w:rPr>
          <w:rStyle w:val="ListParagraphChar"/>
          <w:b/>
          <w:color w:val="auto"/>
        </w:rPr>
        <w:t>Changes to OCHL programme</w:t>
      </w:r>
    </w:p>
    <w:p w:rsidR="00866BEE" w:rsidRPr="00130CFC" w:rsidRDefault="00866BEE" w:rsidP="00901A9B">
      <w:pPr>
        <w:pStyle w:val="ListParagraph"/>
        <w:numPr>
          <w:ilvl w:val="0"/>
          <w:numId w:val="14"/>
        </w:numPr>
        <w:rPr>
          <w:rStyle w:val="ListParagraphChar"/>
          <w:color w:val="auto"/>
        </w:rPr>
      </w:pPr>
      <w:r w:rsidRPr="00901A9B">
        <w:rPr>
          <w:rStyle w:val="ListParagraphChar"/>
          <w:color w:val="auto"/>
        </w:rPr>
        <w:t>In addition there are three sites that were originally in the OCHL programme</w:t>
      </w:r>
      <w:r w:rsidR="006824D1" w:rsidRPr="00901A9B">
        <w:rPr>
          <w:rStyle w:val="ListParagraphChar"/>
          <w:color w:val="auto"/>
        </w:rPr>
        <w:t>,</w:t>
      </w:r>
      <w:r w:rsidRPr="00901A9B">
        <w:rPr>
          <w:rStyle w:val="ListParagraphChar"/>
          <w:color w:val="auto"/>
        </w:rPr>
        <w:t xml:space="preserve"> namely Bracegirdle</w:t>
      </w:r>
      <w:r w:rsidR="00F77C1D" w:rsidRPr="00901A9B">
        <w:rPr>
          <w:rStyle w:val="ListParagraphChar"/>
          <w:color w:val="auto"/>
        </w:rPr>
        <w:t>,</w:t>
      </w:r>
      <w:r w:rsidRPr="00901A9B">
        <w:rPr>
          <w:rStyle w:val="ListParagraphChar"/>
          <w:color w:val="auto"/>
        </w:rPr>
        <w:t xml:space="preserve"> Mortimer and </w:t>
      </w:r>
      <w:r w:rsidR="00F77C1D" w:rsidRPr="00901A9B">
        <w:rPr>
          <w:rStyle w:val="ListParagraphChar"/>
          <w:color w:val="auto"/>
        </w:rPr>
        <w:t>Broad Oak (8</w:t>
      </w:r>
      <w:r w:rsidRPr="00901A9B">
        <w:rPr>
          <w:rStyle w:val="ListParagraphChar"/>
          <w:color w:val="auto"/>
        </w:rPr>
        <w:t xml:space="preserve"> units of bungalows</w:t>
      </w:r>
      <w:r w:rsidR="00F77C1D" w:rsidRPr="00901A9B">
        <w:rPr>
          <w:rStyle w:val="ListParagraphChar"/>
          <w:color w:val="auto"/>
        </w:rPr>
        <w:t>)</w:t>
      </w:r>
      <w:r w:rsidRPr="00901A9B">
        <w:rPr>
          <w:rStyle w:val="ListParagraphChar"/>
          <w:color w:val="auto"/>
        </w:rPr>
        <w:t>, that were transferred back to the HRA as they were potentially to be in receipt of Homes England grant</w:t>
      </w:r>
      <w:r w:rsidR="006824D1" w:rsidRPr="00901A9B">
        <w:rPr>
          <w:rStyle w:val="ListParagraphChar"/>
          <w:color w:val="auto"/>
        </w:rPr>
        <w:t xml:space="preserve"> </w:t>
      </w:r>
      <w:r w:rsidR="00F35E2C">
        <w:rPr>
          <w:rStyle w:val="ListParagraphChar"/>
          <w:color w:val="auto"/>
        </w:rPr>
        <w:t>which</w:t>
      </w:r>
      <w:r w:rsidR="006824D1" w:rsidRPr="00901A9B">
        <w:rPr>
          <w:rStyle w:val="ListParagraphChar"/>
          <w:color w:val="auto"/>
        </w:rPr>
        <w:t xml:space="preserve"> OCHL could not draw down.</w:t>
      </w:r>
      <w:r w:rsidR="004455D2">
        <w:rPr>
          <w:rStyle w:val="ListParagraphChar"/>
          <w:color w:val="auto"/>
        </w:rPr>
        <w:t xml:space="preserve"> The grant eventually was not forthcoming.</w:t>
      </w:r>
      <w:r w:rsidR="006824D1" w:rsidRPr="00901A9B">
        <w:rPr>
          <w:rStyle w:val="ListParagraphChar"/>
          <w:color w:val="auto"/>
        </w:rPr>
        <w:t xml:space="preserve"> However</w:t>
      </w:r>
      <w:r w:rsidR="00077E4A">
        <w:rPr>
          <w:rStyle w:val="ListParagraphChar"/>
          <w:color w:val="auto"/>
        </w:rPr>
        <w:t>, due</w:t>
      </w:r>
      <w:r w:rsidR="004455D2">
        <w:rPr>
          <w:rStyle w:val="ListParagraphChar"/>
          <w:color w:val="auto"/>
        </w:rPr>
        <w:t xml:space="preserve"> to</w:t>
      </w:r>
      <w:r w:rsidR="00077E4A">
        <w:rPr>
          <w:rStyle w:val="ListParagraphChar"/>
          <w:color w:val="auto"/>
        </w:rPr>
        <w:t xml:space="preserve"> the removal of the HRA debt cap</w:t>
      </w:r>
      <w:r w:rsidR="00901A9B">
        <w:rPr>
          <w:rStyle w:val="ListParagraphChar"/>
          <w:color w:val="auto"/>
        </w:rPr>
        <w:t>,</w:t>
      </w:r>
      <w:r w:rsidR="006824D1" w:rsidRPr="00901A9B">
        <w:rPr>
          <w:rStyle w:val="ListParagraphChar"/>
          <w:color w:val="auto"/>
        </w:rPr>
        <w:t xml:space="preserve"> it is proposed that these be added to the</w:t>
      </w:r>
      <w:r w:rsidR="00901A9B">
        <w:rPr>
          <w:rStyle w:val="ListParagraphChar"/>
          <w:color w:val="auto"/>
        </w:rPr>
        <w:t xml:space="preserve"> current</w:t>
      </w:r>
      <w:r w:rsidR="006824D1" w:rsidRPr="00901A9B">
        <w:rPr>
          <w:rStyle w:val="ListParagraphChar"/>
          <w:color w:val="auto"/>
        </w:rPr>
        <w:t xml:space="preserve"> OCHL development programme with the completed </w:t>
      </w:r>
      <w:r w:rsidR="00077E4A">
        <w:rPr>
          <w:rStyle w:val="ListParagraphChar"/>
          <w:color w:val="auto"/>
        </w:rPr>
        <w:t xml:space="preserve">affordable </w:t>
      </w:r>
      <w:r w:rsidR="006824D1" w:rsidRPr="00901A9B">
        <w:rPr>
          <w:rStyle w:val="ListParagraphChar"/>
          <w:color w:val="auto"/>
        </w:rPr>
        <w:t>units</w:t>
      </w:r>
      <w:r w:rsidR="004F7560">
        <w:rPr>
          <w:rStyle w:val="ListParagraphChar"/>
          <w:color w:val="auto"/>
        </w:rPr>
        <w:t xml:space="preserve"> to be </w:t>
      </w:r>
      <w:r w:rsidR="006824D1" w:rsidRPr="00901A9B">
        <w:rPr>
          <w:rStyle w:val="ListParagraphChar"/>
          <w:color w:val="auto"/>
        </w:rPr>
        <w:t xml:space="preserve">purchased by the HRA. This enables grant to be accessed from the Growth </w:t>
      </w:r>
      <w:r w:rsidR="006824D1" w:rsidRPr="00130CFC">
        <w:rPr>
          <w:rStyle w:val="ListParagraphChar"/>
          <w:color w:val="auto"/>
        </w:rPr>
        <w:t>Deal.</w:t>
      </w:r>
    </w:p>
    <w:p w:rsidR="0092717A" w:rsidRDefault="006824D1" w:rsidP="00A51709">
      <w:pPr>
        <w:pStyle w:val="ListParagraph"/>
        <w:numPr>
          <w:ilvl w:val="0"/>
          <w:numId w:val="14"/>
        </w:numPr>
      </w:pPr>
      <w:r w:rsidRPr="000C3A25">
        <w:rPr>
          <w:rStyle w:val="ListParagraphChar"/>
          <w:color w:val="auto"/>
        </w:rPr>
        <w:t>The proposed changes</w:t>
      </w:r>
      <w:r w:rsidR="00901A9B" w:rsidRPr="000C3A25">
        <w:rPr>
          <w:rStyle w:val="ListParagraphChar"/>
          <w:color w:val="auto"/>
        </w:rPr>
        <w:t xml:space="preserve"> at para</w:t>
      </w:r>
      <w:r w:rsidR="005144F3">
        <w:rPr>
          <w:rStyle w:val="ListParagraphChar"/>
          <w:color w:val="auto"/>
        </w:rPr>
        <w:t>graph</w:t>
      </w:r>
      <w:r w:rsidR="00901A9B" w:rsidRPr="000C3A25">
        <w:rPr>
          <w:rStyle w:val="ListParagraphChar"/>
          <w:color w:val="auto"/>
        </w:rPr>
        <w:t>s 11,</w:t>
      </w:r>
      <w:r w:rsidR="00343FC0">
        <w:rPr>
          <w:rStyle w:val="ListParagraphChar"/>
          <w:color w:val="auto"/>
        </w:rPr>
        <w:t xml:space="preserve"> </w:t>
      </w:r>
      <w:r w:rsidR="00901A9B" w:rsidRPr="000C3A25">
        <w:rPr>
          <w:rStyle w:val="ListParagraphChar"/>
          <w:color w:val="auto"/>
        </w:rPr>
        <w:t>12 and 14</w:t>
      </w:r>
      <w:r w:rsidR="005144F3">
        <w:rPr>
          <w:rStyle w:val="ListParagraphChar"/>
          <w:color w:val="auto"/>
        </w:rPr>
        <w:t xml:space="preserve"> of this report</w:t>
      </w:r>
      <w:r w:rsidRPr="000C3A25">
        <w:rPr>
          <w:rStyle w:val="ListParagraphChar"/>
          <w:color w:val="auto"/>
        </w:rPr>
        <w:t xml:space="preserve"> will require the agreement</w:t>
      </w:r>
      <w:r w:rsidR="004F7560" w:rsidRPr="000C3A25">
        <w:rPr>
          <w:rStyle w:val="ListParagraphChar"/>
          <w:color w:val="auto"/>
        </w:rPr>
        <w:t xml:space="preserve"> and approval</w:t>
      </w:r>
      <w:r w:rsidRPr="000C3A25">
        <w:rPr>
          <w:rStyle w:val="ListParagraphChar"/>
          <w:color w:val="auto"/>
        </w:rPr>
        <w:t xml:space="preserve"> of </w:t>
      </w:r>
      <w:r w:rsidR="0027630D">
        <w:rPr>
          <w:rStyle w:val="ListParagraphChar"/>
          <w:color w:val="auto"/>
        </w:rPr>
        <w:t>changes to several</w:t>
      </w:r>
      <w:r w:rsidR="004F7560" w:rsidRPr="000C3A25">
        <w:rPr>
          <w:rStyle w:val="ListParagraphChar"/>
          <w:color w:val="auto"/>
        </w:rPr>
        <w:t xml:space="preserve"> MTFP</w:t>
      </w:r>
      <w:r w:rsidR="0027630D">
        <w:rPr>
          <w:rStyle w:val="ListParagraphChar"/>
          <w:color w:val="auto"/>
        </w:rPr>
        <w:t xml:space="preserve"> related elements (see table in financial implications section)</w:t>
      </w:r>
      <w:r w:rsidR="004455D2">
        <w:rPr>
          <w:rStyle w:val="ListParagraphChar"/>
          <w:color w:val="auto"/>
        </w:rPr>
        <w:t xml:space="preserve"> </w:t>
      </w:r>
      <w:r w:rsidR="004F7560" w:rsidRPr="000C3A25">
        <w:rPr>
          <w:rStyle w:val="ListParagraphChar"/>
          <w:color w:val="auto"/>
        </w:rPr>
        <w:t>an updated</w:t>
      </w:r>
      <w:r w:rsidRPr="000C3A25">
        <w:rPr>
          <w:rStyle w:val="ListParagraphChar"/>
          <w:color w:val="auto"/>
        </w:rPr>
        <w:t xml:space="preserve"> HRA </w:t>
      </w:r>
      <w:r w:rsidR="004F7560" w:rsidRPr="000C3A25">
        <w:rPr>
          <w:rStyle w:val="ListParagraphChar"/>
          <w:color w:val="auto"/>
        </w:rPr>
        <w:t>B</w:t>
      </w:r>
      <w:r w:rsidRPr="000C3A25">
        <w:rPr>
          <w:rStyle w:val="ListParagraphChar"/>
          <w:color w:val="auto"/>
        </w:rPr>
        <w:t xml:space="preserve">usiness </w:t>
      </w:r>
      <w:r w:rsidR="004F7560" w:rsidRPr="000C3A25">
        <w:rPr>
          <w:rStyle w:val="ListParagraphChar"/>
          <w:color w:val="auto"/>
        </w:rPr>
        <w:t>P</w:t>
      </w:r>
      <w:r w:rsidRPr="000C3A25">
        <w:rPr>
          <w:rStyle w:val="ListParagraphChar"/>
          <w:color w:val="auto"/>
        </w:rPr>
        <w:t>lan</w:t>
      </w:r>
      <w:r w:rsidR="0027630D">
        <w:rPr>
          <w:rStyle w:val="ListParagraphChar"/>
          <w:color w:val="auto"/>
        </w:rPr>
        <w:t xml:space="preserve"> and HRA capital programme (see Appendices 1 and 2 )</w:t>
      </w:r>
      <w:r w:rsidRPr="000C3A25">
        <w:rPr>
          <w:rStyle w:val="ListParagraphChar"/>
          <w:color w:val="auto"/>
        </w:rPr>
        <w:t xml:space="preserve"> and for the Shareholder to agree a revised OCHL Business Plan</w:t>
      </w:r>
      <w:r w:rsidR="00DD74EB">
        <w:rPr>
          <w:rStyle w:val="ListParagraphChar"/>
          <w:color w:val="auto"/>
        </w:rPr>
        <w:t>.</w:t>
      </w:r>
      <w:r w:rsidR="004F7560" w:rsidRPr="000C3A25">
        <w:rPr>
          <w:rStyle w:val="ListParagraphChar"/>
          <w:color w:val="auto"/>
        </w:rPr>
        <w:t xml:space="preserve"> </w:t>
      </w:r>
      <w:r w:rsidR="004455D2">
        <w:rPr>
          <w:rStyle w:val="ListParagraphChar"/>
          <w:color w:val="auto"/>
        </w:rPr>
        <w:t>C</w:t>
      </w:r>
      <w:r w:rsidR="004F7560" w:rsidRPr="000C3A25">
        <w:rPr>
          <w:rStyle w:val="ListParagraphChar"/>
          <w:color w:val="auto"/>
        </w:rPr>
        <w:t>urrent estimates suggest that even after undertaking the above changes in OCHL strategy and with the remaining MTFP assumptions unchanged, the return of resources back to the Council potentially via loan interest</w:t>
      </w:r>
      <w:r w:rsidR="0027630D">
        <w:rPr>
          <w:rStyle w:val="ListParagraphChar"/>
          <w:color w:val="auto"/>
        </w:rPr>
        <w:t xml:space="preserve"> and</w:t>
      </w:r>
      <w:r w:rsidR="004F7560" w:rsidRPr="000C3A25">
        <w:rPr>
          <w:rStyle w:val="ListParagraphChar"/>
          <w:color w:val="auto"/>
        </w:rPr>
        <w:t xml:space="preserve"> </w:t>
      </w:r>
      <w:r w:rsidR="004455D2">
        <w:rPr>
          <w:rStyle w:val="ListParagraphChar"/>
          <w:color w:val="auto"/>
        </w:rPr>
        <w:t>service level agreements (</w:t>
      </w:r>
      <w:r w:rsidR="004F7560" w:rsidRPr="000C3A25">
        <w:rPr>
          <w:rStyle w:val="ListParagraphChar"/>
          <w:color w:val="auto"/>
        </w:rPr>
        <w:t>SLAs</w:t>
      </w:r>
      <w:r w:rsidR="004455D2">
        <w:rPr>
          <w:rStyle w:val="ListParagraphChar"/>
          <w:color w:val="auto"/>
        </w:rPr>
        <w:t>)</w:t>
      </w:r>
      <w:r w:rsidR="0027630D">
        <w:rPr>
          <w:rStyle w:val="ListParagraphChar"/>
          <w:color w:val="auto"/>
        </w:rPr>
        <w:t xml:space="preserve"> income</w:t>
      </w:r>
      <w:r w:rsidR="004F7560" w:rsidRPr="000C3A25">
        <w:rPr>
          <w:rStyle w:val="ListParagraphChar"/>
          <w:color w:val="auto"/>
        </w:rPr>
        <w:t xml:space="preserve"> </w:t>
      </w:r>
      <w:r w:rsidR="0027630D">
        <w:rPr>
          <w:rStyle w:val="ListParagraphChar"/>
          <w:color w:val="auto"/>
        </w:rPr>
        <w:t>OCHL can continue to meet its</w:t>
      </w:r>
      <w:r w:rsidR="004F7560" w:rsidRPr="000C3A25">
        <w:rPr>
          <w:rStyle w:val="ListParagraphChar"/>
          <w:color w:val="auto"/>
        </w:rPr>
        <w:t xml:space="preserve"> MTFP </w:t>
      </w:r>
      <w:r w:rsidR="0027630D">
        <w:rPr>
          <w:rStyle w:val="ListParagraphChar"/>
          <w:color w:val="auto"/>
        </w:rPr>
        <w:t>obligations</w:t>
      </w:r>
      <w:r w:rsidR="004F7560" w:rsidRPr="000C3A25">
        <w:rPr>
          <w:rStyle w:val="ListParagraphChar"/>
          <w:color w:val="auto"/>
        </w:rPr>
        <w:t>.</w:t>
      </w:r>
      <w:r w:rsidRPr="000C3A25">
        <w:rPr>
          <w:rStyle w:val="ListParagraphChar"/>
          <w:color w:val="auto"/>
        </w:rPr>
        <w:t xml:space="preserve"> In summary the Council’s G</w:t>
      </w:r>
      <w:r w:rsidR="005144F3">
        <w:rPr>
          <w:rStyle w:val="ListParagraphChar"/>
          <w:color w:val="auto"/>
        </w:rPr>
        <w:t xml:space="preserve">eneral </w:t>
      </w:r>
      <w:r w:rsidRPr="000C3A25">
        <w:rPr>
          <w:rStyle w:val="ListParagraphChar"/>
          <w:color w:val="auto"/>
        </w:rPr>
        <w:t>F</w:t>
      </w:r>
      <w:r w:rsidR="005144F3">
        <w:rPr>
          <w:rStyle w:val="ListParagraphChar"/>
          <w:color w:val="auto"/>
        </w:rPr>
        <w:t>und</w:t>
      </w:r>
      <w:r w:rsidR="0027630D">
        <w:rPr>
          <w:rStyle w:val="ListParagraphChar"/>
          <w:color w:val="auto"/>
        </w:rPr>
        <w:t xml:space="preserve"> capital budget will increase with regards to the re-phased OCHL borrowing</w:t>
      </w:r>
      <w:r w:rsidR="00DE5C36">
        <w:rPr>
          <w:rStyle w:val="ListParagraphChar"/>
          <w:color w:val="auto"/>
        </w:rPr>
        <w:t xml:space="preserve"> </w:t>
      </w:r>
      <w:r w:rsidR="0027630D">
        <w:rPr>
          <w:rStyle w:val="ListParagraphChar"/>
          <w:color w:val="auto"/>
        </w:rPr>
        <w:t>and it</w:t>
      </w:r>
      <w:r w:rsidR="0039446B" w:rsidRPr="000C3A25">
        <w:rPr>
          <w:rStyle w:val="ListParagraphChar"/>
          <w:color w:val="auto"/>
        </w:rPr>
        <w:t xml:space="preserve"> will continue to receive</w:t>
      </w:r>
      <w:r w:rsidR="004F7560" w:rsidRPr="000C3A25">
        <w:rPr>
          <w:rStyle w:val="ListParagraphChar"/>
          <w:color w:val="auto"/>
        </w:rPr>
        <w:t xml:space="preserve"> in the current MTFP period</w:t>
      </w:r>
      <w:r w:rsidR="000C23DF">
        <w:rPr>
          <w:rStyle w:val="ListParagraphChar"/>
          <w:color w:val="auto"/>
        </w:rPr>
        <w:t xml:space="preserve"> </w:t>
      </w:r>
      <w:r w:rsidR="000C23DF" w:rsidRPr="000C23DF">
        <w:rPr>
          <w:color w:val="auto"/>
        </w:rPr>
        <w:t>2019/20 to 2022/23</w:t>
      </w:r>
      <w:r w:rsidR="004F7560" w:rsidRPr="000C3A25">
        <w:rPr>
          <w:rStyle w:val="ListParagraphChar"/>
          <w:color w:val="auto"/>
        </w:rPr>
        <w:t xml:space="preserve"> all the expected OCHL</w:t>
      </w:r>
      <w:r w:rsidR="0039446B" w:rsidRPr="000C3A25">
        <w:rPr>
          <w:rStyle w:val="ListParagraphChar"/>
          <w:color w:val="auto"/>
        </w:rPr>
        <w:t xml:space="preserve"> return</w:t>
      </w:r>
      <w:r w:rsidR="00130CFC" w:rsidRPr="000C3A25">
        <w:rPr>
          <w:rStyle w:val="ListParagraphChar"/>
          <w:color w:val="auto"/>
        </w:rPr>
        <w:t>s,</w:t>
      </w:r>
      <w:r w:rsidR="00F736F3" w:rsidRPr="000C3A25">
        <w:rPr>
          <w:rStyle w:val="ListParagraphChar"/>
          <w:color w:val="auto"/>
        </w:rPr>
        <w:t xml:space="preserve"> </w:t>
      </w:r>
      <w:r w:rsidR="00130CFC" w:rsidRPr="000C3A25">
        <w:rPr>
          <w:rStyle w:val="ListParagraphChar"/>
          <w:color w:val="auto"/>
        </w:rPr>
        <w:t xml:space="preserve">albeit potentially profiled slightly </w:t>
      </w:r>
      <w:r w:rsidR="00DE5C36" w:rsidRPr="000C3A25">
        <w:rPr>
          <w:rStyle w:val="ListParagraphChar"/>
          <w:color w:val="auto"/>
        </w:rPr>
        <w:t>differently</w:t>
      </w:r>
      <w:r w:rsidR="00DE5C36">
        <w:rPr>
          <w:rStyle w:val="ListParagraphChar"/>
          <w:color w:val="auto"/>
        </w:rPr>
        <w:t>. The</w:t>
      </w:r>
      <w:r w:rsidR="0027630D">
        <w:rPr>
          <w:rStyle w:val="ListParagraphChar"/>
          <w:color w:val="auto"/>
        </w:rPr>
        <w:t xml:space="preserve"> HRA will similarly experience increases to its capital programme for the </w:t>
      </w:r>
      <w:r w:rsidR="00DE5C36">
        <w:rPr>
          <w:rStyle w:val="ListParagraphChar"/>
          <w:color w:val="auto"/>
        </w:rPr>
        <w:t xml:space="preserve">purchases </w:t>
      </w:r>
      <w:r w:rsidR="005144F3">
        <w:rPr>
          <w:rStyle w:val="ListParagraphChar"/>
          <w:color w:val="auto"/>
        </w:rPr>
        <w:t xml:space="preserve">of dwellings </w:t>
      </w:r>
      <w:r w:rsidR="00DE5C36">
        <w:rPr>
          <w:rStyle w:val="ListParagraphChar"/>
          <w:color w:val="auto"/>
        </w:rPr>
        <w:t>and the HRA itself will be impacted with associated changes in rental income, revenue expenditure and interest and loan payments.</w:t>
      </w:r>
    </w:p>
    <w:p w:rsidR="0092717A" w:rsidRDefault="0092717A" w:rsidP="0092717A">
      <w:pPr>
        <w:pStyle w:val="ListParagraph"/>
        <w:numPr>
          <w:ilvl w:val="0"/>
          <w:numId w:val="14"/>
        </w:numPr>
        <w:rPr>
          <w:rStyle w:val="ListParagraphChar"/>
          <w:color w:val="auto"/>
        </w:rPr>
      </w:pPr>
      <w:r>
        <w:rPr>
          <w:rStyle w:val="ListParagraphChar"/>
          <w:color w:val="auto"/>
        </w:rPr>
        <w:t>Given the</w:t>
      </w:r>
      <w:r w:rsidR="00130CFC">
        <w:rPr>
          <w:rStyle w:val="ListParagraphChar"/>
          <w:color w:val="auto"/>
        </w:rPr>
        <w:t xml:space="preserve"> increased </w:t>
      </w:r>
      <w:r>
        <w:rPr>
          <w:rStyle w:val="ListParagraphChar"/>
          <w:color w:val="auto"/>
        </w:rPr>
        <w:t xml:space="preserve">HRA borrowing </w:t>
      </w:r>
      <w:r w:rsidR="00130CFC">
        <w:rPr>
          <w:rStyle w:val="ListParagraphChar"/>
          <w:color w:val="auto"/>
        </w:rPr>
        <w:t>potential,</w:t>
      </w:r>
      <w:r>
        <w:rPr>
          <w:rStyle w:val="ListParagraphChar"/>
          <w:color w:val="auto"/>
        </w:rPr>
        <w:t xml:space="preserve"> o</w:t>
      </w:r>
      <w:r w:rsidRPr="0092717A">
        <w:rPr>
          <w:rStyle w:val="ListParagraphChar"/>
          <w:color w:val="auto"/>
        </w:rPr>
        <w:t xml:space="preserve">fficers </w:t>
      </w:r>
      <w:r>
        <w:rPr>
          <w:rStyle w:val="ListParagraphChar"/>
          <w:color w:val="auto"/>
        </w:rPr>
        <w:t>have also been</w:t>
      </w:r>
      <w:r w:rsidRPr="0092717A">
        <w:rPr>
          <w:rStyle w:val="ListParagraphChar"/>
          <w:color w:val="auto"/>
        </w:rPr>
        <w:t xml:space="preserve"> examining the opportunity of delivering additional </w:t>
      </w:r>
      <w:r>
        <w:rPr>
          <w:rStyle w:val="ListParagraphChar"/>
          <w:color w:val="auto"/>
        </w:rPr>
        <w:t>affordable units</w:t>
      </w:r>
      <w:r w:rsidRPr="0092717A">
        <w:rPr>
          <w:rStyle w:val="ListParagraphChar"/>
          <w:color w:val="auto"/>
        </w:rPr>
        <w:t xml:space="preserve"> </w:t>
      </w:r>
      <w:r w:rsidR="00130CFC">
        <w:rPr>
          <w:rStyle w:val="ListParagraphChar"/>
          <w:color w:val="auto"/>
        </w:rPr>
        <w:t xml:space="preserve">for the Council </w:t>
      </w:r>
      <w:r w:rsidRPr="0092717A">
        <w:rPr>
          <w:rStyle w:val="ListParagraphChar"/>
          <w:color w:val="auto"/>
        </w:rPr>
        <w:t xml:space="preserve">by the HRA purchasing </w:t>
      </w:r>
      <w:r>
        <w:rPr>
          <w:rStyle w:val="ListParagraphChar"/>
          <w:color w:val="auto"/>
        </w:rPr>
        <w:t xml:space="preserve">some of the market sale units on sites within the current development </w:t>
      </w:r>
      <w:r w:rsidR="00EC47A8">
        <w:rPr>
          <w:rStyle w:val="ListParagraphChar"/>
          <w:color w:val="auto"/>
        </w:rPr>
        <w:t>programme.</w:t>
      </w:r>
      <w:r w:rsidR="00130CFC">
        <w:rPr>
          <w:rStyle w:val="ListParagraphChar"/>
          <w:color w:val="auto"/>
        </w:rPr>
        <w:t xml:space="preserve"> The HRA has the financial strength to acquire additional units and is much better placed</w:t>
      </w:r>
      <w:r w:rsidR="004455D2">
        <w:rPr>
          <w:rStyle w:val="ListParagraphChar"/>
          <w:color w:val="auto"/>
        </w:rPr>
        <w:t xml:space="preserve"> to do so</w:t>
      </w:r>
      <w:r w:rsidR="00130CFC">
        <w:rPr>
          <w:rStyle w:val="ListParagraphChar"/>
          <w:color w:val="auto"/>
        </w:rPr>
        <w:t xml:space="preserve"> than OCHL which is already highly geared given its debt position</w:t>
      </w:r>
      <w:r w:rsidR="00DD74EB">
        <w:rPr>
          <w:rStyle w:val="ListParagraphChar"/>
          <w:color w:val="auto"/>
        </w:rPr>
        <w:t xml:space="preserve"> and limited assets</w:t>
      </w:r>
      <w:r w:rsidR="000C3A25">
        <w:rPr>
          <w:rStyle w:val="ListParagraphChar"/>
          <w:color w:val="auto"/>
        </w:rPr>
        <w:t>.</w:t>
      </w:r>
      <w:r w:rsidR="00130CFC">
        <w:rPr>
          <w:rStyle w:val="ListParagraphChar"/>
          <w:color w:val="auto"/>
        </w:rPr>
        <w:t xml:space="preserve"> An</w:t>
      </w:r>
      <w:r>
        <w:rPr>
          <w:rStyle w:val="ListParagraphChar"/>
          <w:color w:val="auto"/>
        </w:rPr>
        <w:t xml:space="preserve"> additional a</w:t>
      </w:r>
      <w:r w:rsidRPr="0092717A">
        <w:rPr>
          <w:rStyle w:val="ListParagraphChar"/>
          <w:color w:val="auto"/>
        </w:rPr>
        <w:t>dvantage</w:t>
      </w:r>
      <w:r w:rsidR="00130CFC">
        <w:rPr>
          <w:rStyle w:val="ListParagraphChar"/>
          <w:color w:val="auto"/>
        </w:rPr>
        <w:t xml:space="preserve"> is the HRA being a regulated entity has</w:t>
      </w:r>
      <w:r>
        <w:rPr>
          <w:rStyle w:val="ListParagraphChar"/>
          <w:color w:val="auto"/>
        </w:rPr>
        <w:t xml:space="preserve"> the ability to draw</w:t>
      </w:r>
      <w:r w:rsidRPr="0092717A">
        <w:rPr>
          <w:rStyle w:val="ListParagraphChar"/>
          <w:color w:val="auto"/>
        </w:rPr>
        <w:t xml:space="preserve"> down Growth Deal </w:t>
      </w:r>
      <w:r>
        <w:rPr>
          <w:rStyle w:val="ListParagraphChar"/>
          <w:color w:val="auto"/>
        </w:rPr>
        <w:t>grant and</w:t>
      </w:r>
      <w:r w:rsidR="00EC47A8">
        <w:rPr>
          <w:rStyle w:val="ListParagraphChar"/>
          <w:color w:val="auto"/>
        </w:rPr>
        <w:t xml:space="preserve"> give a greater confidence to delivery of the year 2 Growth Deal commitments. It is estimated that </w:t>
      </w:r>
      <w:r w:rsidR="000C3A25">
        <w:rPr>
          <w:rStyle w:val="ListParagraphChar"/>
          <w:color w:val="auto"/>
        </w:rPr>
        <w:t>37</w:t>
      </w:r>
      <w:r w:rsidR="00EC47A8">
        <w:rPr>
          <w:rStyle w:val="ListParagraphChar"/>
          <w:color w:val="auto"/>
        </w:rPr>
        <w:t xml:space="preserve"> market sales could be converted to</w:t>
      </w:r>
      <w:r w:rsidR="00130CFC">
        <w:rPr>
          <w:rStyle w:val="ListParagraphChar"/>
          <w:color w:val="auto"/>
        </w:rPr>
        <w:t xml:space="preserve"> </w:t>
      </w:r>
      <w:r w:rsidR="000C3A25">
        <w:rPr>
          <w:rStyle w:val="ListParagraphChar"/>
          <w:color w:val="auto"/>
        </w:rPr>
        <w:t>37 shared ownership properties</w:t>
      </w:r>
      <w:r w:rsidR="00130CFC">
        <w:rPr>
          <w:rStyle w:val="ListParagraphChar"/>
          <w:color w:val="auto"/>
        </w:rPr>
        <w:t xml:space="preserve"> </w:t>
      </w:r>
      <w:r w:rsidR="001A0B1A">
        <w:rPr>
          <w:rStyle w:val="ListParagraphChar"/>
          <w:color w:val="auto"/>
        </w:rPr>
        <w:t xml:space="preserve">in the HRA in this way </w:t>
      </w:r>
      <w:r w:rsidR="00130CFC">
        <w:rPr>
          <w:rStyle w:val="ListParagraphChar"/>
          <w:color w:val="auto"/>
        </w:rPr>
        <w:t>and would require the HRA to increase its capital programme by a further</w:t>
      </w:r>
      <w:r w:rsidR="00C553A6">
        <w:rPr>
          <w:rStyle w:val="ListParagraphChar"/>
          <w:color w:val="auto"/>
        </w:rPr>
        <w:t xml:space="preserve"> £</w:t>
      </w:r>
      <w:r w:rsidR="001A0B1A">
        <w:rPr>
          <w:rStyle w:val="ListParagraphChar"/>
          <w:color w:val="auto"/>
        </w:rPr>
        <w:t>1</w:t>
      </w:r>
      <w:r w:rsidR="00DE5C36">
        <w:rPr>
          <w:rStyle w:val="ListParagraphChar"/>
          <w:color w:val="auto"/>
        </w:rPr>
        <w:t>8.090m</w:t>
      </w:r>
      <w:r w:rsidR="00C553A6">
        <w:rPr>
          <w:rStyle w:val="ListParagraphChar"/>
          <w:color w:val="auto"/>
        </w:rPr>
        <w:t>.</w:t>
      </w:r>
    </w:p>
    <w:p w:rsidR="006C7D1E" w:rsidRDefault="006C7D1E" w:rsidP="006C7D1E">
      <w:pPr>
        <w:pStyle w:val="ListParagraph"/>
        <w:rPr>
          <w:rStyle w:val="ListParagraphChar"/>
          <w:b/>
          <w:color w:val="auto"/>
        </w:rPr>
      </w:pPr>
    </w:p>
    <w:p w:rsidR="006C7D1E" w:rsidRDefault="0092717A" w:rsidP="006C7D1E">
      <w:pPr>
        <w:pStyle w:val="ListParagraph"/>
        <w:rPr>
          <w:rStyle w:val="ListParagraphChar"/>
          <w:b/>
          <w:color w:val="auto"/>
        </w:rPr>
      </w:pPr>
      <w:r w:rsidRPr="0092717A">
        <w:rPr>
          <w:rStyle w:val="ListParagraphChar"/>
          <w:b/>
          <w:color w:val="auto"/>
        </w:rPr>
        <w:t xml:space="preserve">Review </w:t>
      </w:r>
      <w:r w:rsidR="004455D2">
        <w:rPr>
          <w:rStyle w:val="ListParagraphChar"/>
          <w:b/>
          <w:color w:val="auto"/>
        </w:rPr>
        <w:t>of future role and activity of OCHL</w:t>
      </w:r>
    </w:p>
    <w:p w:rsidR="0039446B" w:rsidRPr="0092717A" w:rsidRDefault="0039446B" w:rsidP="00490D93">
      <w:pPr>
        <w:pStyle w:val="ListParagraph"/>
        <w:numPr>
          <w:ilvl w:val="0"/>
          <w:numId w:val="14"/>
        </w:numPr>
        <w:rPr>
          <w:rStyle w:val="ListParagraphChar"/>
          <w:color w:val="auto"/>
        </w:rPr>
      </w:pPr>
      <w:r w:rsidRPr="0092717A">
        <w:rPr>
          <w:rStyle w:val="ListParagraphChar"/>
          <w:color w:val="auto"/>
        </w:rPr>
        <w:t>The Council is continuing to review how it can accelerate the delivery of affordable housing units</w:t>
      </w:r>
      <w:r w:rsidR="00C51838" w:rsidRPr="0092717A">
        <w:rPr>
          <w:rStyle w:val="ListParagraphChar"/>
          <w:color w:val="auto"/>
        </w:rPr>
        <w:t>, the development of alternative tenures to meet housing need and support economic growth</w:t>
      </w:r>
      <w:r w:rsidRPr="0092717A">
        <w:rPr>
          <w:rStyle w:val="ListParagraphChar"/>
          <w:color w:val="auto"/>
        </w:rPr>
        <w:t xml:space="preserve"> as well as </w:t>
      </w:r>
      <w:r w:rsidR="00F736F3">
        <w:rPr>
          <w:rStyle w:val="ListParagraphChar"/>
          <w:color w:val="auto"/>
        </w:rPr>
        <w:t>meeting its MTFP commitment.</w:t>
      </w:r>
      <w:r w:rsidR="008F477B" w:rsidRPr="0092717A">
        <w:rPr>
          <w:rStyle w:val="ListParagraphChar"/>
          <w:color w:val="auto"/>
        </w:rPr>
        <w:t xml:space="preserve"> </w:t>
      </w:r>
      <w:r w:rsidR="008F477B" w:rsidRPr="0092717A">
        <w:rPr>
          <w:rStyle w:val="ListParagraphChar"/>
          <w:color w:val="auto"/>
        </w:rPr>
        <w:lastRenderedPageBreak/>
        <w:t>OCHL has recently recruited an interim managing director to lead a 6 month review</w:t>
      </w:r>
      <w:r w:rsidR="0092717A">
        <w:rPr>
          <w:rStyle w:val="ListParagraphChar"/>
          <w:color w:val="auto"/>
        </w:rPr>
        <w:t xml:space="preserve"> feeding into the </w:t>
      </w:r>
      <w:r w:rsidR="00F736F3">
        <w:rPr>
          <w:rStyle w:val="ListParagraphChar"/>
          <w:color w:val="auto"/>
        </w:rPr>
        <w:t>20</w:t>
      </w:r>
      <w:r w:rsidR="0092717A">
        <w:rPr>
          <w:rStyle w:val="ListParagraphChar"/>
          <w:color w:val="auto"/>
        </w:rPr>
        <w:t>20/21 budget setting,</w:t>
      </w:r>
      <w:r w:rsidR="008F477B" w:rsidRPr="0092717A">
        <w:rPr>
          <w:rStyle w:val="ListParagraphChar"/>
          <w:color w:val="auto"/>
        </w:rPr>
        <w:t xml:space="preserve"> with the following objectives</w:t>
      </w:r>
      <w:r w:rsidR="000C23DF">
        <w:rPr>
          <w:rStyle w:val="ListParagraphChar"/>
          <w:color w:val="auto"/>
        </w:rPr>
        <w:t>:</w:t>
      </w:r>
    </w:p>
    <w:p w:rsidR="008F477B" w:rsidRDefault="008F477B" w:rsidP="008F477B">
      <w:pPr>
        <w:pStyle w:val="ListParagraph"/>
        <w:numPr>
          <w:ilvl w:val="0"/>
          <w:numId w:val="45"/>
        </w:numPr>
        <w:tabs>
          <w:tab w:val="clear" w:pos="426"/>
        </w:tabs>
        <w:spacing w:after="0"/>
        <w:contextualSpacing/>
      </w:pPr>
      <w:r>
        <w:t>Examine the resources and expertise currently available to the Housing Company and how it is organised and make recommendations on what is needed to improve the pace of programme delivery.</w:t>
      </w:r>
    </w:p>
    <w:p w:rsidR="008F477B" w:rsidRDefault="008F477B" w:rsidP="008F477B">
      <w:pPr>
        <w:spacing w:after="0"/>
        <w:ind w:left="720"/>
        <w:contextualSpacing/>
      </w:pPr>
    </w:p>
    <w:p w:rsidR="008F477B" w:rsidRDefault="008F477B" w:rsidP="008F477B">
      <w:pPr>
        <w:pStyle w:val="ListParagraph"/>
        <w:numPr>
          <w:ilvl w:val="0"/>
          <w:numId w:val="45"/>
        </w:numPr>
        <w:tabs>
          <w:tab w:val="clear" w:pos="426"/>
        </w:tabs>
        <w:spacing w:after="0"/>
        <w:contextualSpacing/>
      </w:pPr>
      <w:r>
        <w:t>Develop a delivery programme for the next batch of Council sites that have been identified as having potential to be delivered by OHCL.</w:t>
      </w:r>
    </w:p>
    <w:p w:rsidR="008F477B" w:rsidRDefault="008F477B" w:rsidP="008F477B">
      <w:pPr>
        <w:pStyle w:val="ListParagraph"/>
      </w:pPr>
    </w:p>
    <w:p w:rsidR="008F477B" w:rsidRDefault="008F477B" w:rsidP="008F477B">
      <w:pPr>
        <w:pStyle w:val="ListParagraph"/>
        <w:numPr>
          <w:ilvl w:val="0"/>
          <w:numId w:val="45"/>
        </w:numPr>
        <w:tabs>
          <w:tab w:val="clear" w:pos="426"/>
        </w:tabs>
        <w:spacing w:after="0"/>
        <w:contextualSpacing/>
      </w:pPr>
      <w:r>
        <w:t>Develop a viable proposition for alternative tenure offer</w:t>
      </w:r>
      <w:r w:rsidR="004455D2">
        <w:t xml:space="preserve"> in addition to social rent</w:t>
      </w:r>
      <w:r>
        <w:t>, including an affordable P</w:t>
      </w:r>
      <w:r w:rsidR="000C23DF">
        <w:t xml:space="preserve">rivate </w:t>
      </w:r>
      <w:r>
        <w:t>R</w:t>
      </w:r>
      <w:r w:rsidR="000C23DF">
        <w:t xml:space="preserve">ented </w:t>
      </w:r>
      <w:r>
        <w:t>S</w:t>
      </w:r>
      <w:r w:rsidR="000C23DF">
        <w:t>ector (PRS)</w:t>
      </w:r>
      <w:r>
        <w:t xml:space="preserve"> offer.</w:t>
      </w:r>
    </w:p>
    <w:p w:rsidR="008F477B" w:rsidRDefault="008F477B" w:rsidP="008F477B"/>
    <w:p w:rsidR="008F477B" w:rsidRDefault="008F477B" w:rsidP="008F477B">
      <w:pPr>
        <w:pStyle w:val="ListParagraph"/>
        <w:numPr>
          <w:ilvl w:val="0"/>
          <w:numId w:val="45"/>
        </w:numPr>
        <w:tabs>
          <w:tab w:val="clear" w:pos="426"/>
        </w:tabs>
        <w:spacing w:after="0"/>
        <w:contextualSpacing/>
      </w:pPr>
      <w:r>
        <w:t>Given the finite number of Council owned development sites appraise opportunities for an expansion of OHCL’s activity, including potential purchase of land for development, commission</w:t>
      </w:r>
      <w:r w:rsidR="000C23DF">
        <w:t xml:space="preserve"> the</w:t>
      </w:r>
      <w:r>
        <w:t xml:space="preserve"> required work to identify potential sites and develop costed proposals for these sites.</w:t>
      </w:r>
    </w:p>
    <w:p w:rsidR="008F477B" w:rsidRDefault="008F477B" w:rsidP="008F477B"/>
    <w:p w:rsidR="008F477B" w:rsidRDefault="008F477B" w:rsidP="008F477B">
      <w:pPr>
        <w:pStyle w:val="ListParagraph"/>
        <w:numPr>
          <w:ilvl w:val="0"/>
          <w:numId w:val="45"/>
        </w:numPr>
        <w:tabs>
          <w:tab w:val="clear" w:pos="426"/>
        </w:tabs>
        <w:spacing w:after="0"/>
        <w:contextualSpacing/>
      </w:pPr>
      <w:r>
        <w:t>Explore delivery vehicle options and make recommendations for appropriate partnership arrangements and subject to agreement, take forward the development of the partnership(s).</w:t>
      </w:r>
    </w:p>
    <w:p w:rsidR="008F477B" w:rsidRDefault="008F477B" w:rsidP="008F477B">
      <w:pPr>
        <w:pStyle w:val="ListParagraph"/>
      </w:pPr>
    </w:p>
    <w:p w:rsidR="008F477B" w:rsidRDefault="008F477B" w:rsidP="008F477B">
      <w:pPr>
        <w:pStyle w:val="ListParagraph"/>
        <w:numPr>
          <w:ilvl w:val="0"/>
          <w:numId w:val="45"/>
        </w:numPr>
        <w:tabs>
          <w:tab w:val="clear" w:pos="426"/>
        </w:tabs>
        <w:spacing w:after="0"/>
        <w:contextualSpacing/>
      </w:pPr>
      <w:r>
        <w:t>Develop proposals and make recommendations for appropriate governance of the Housing Company, including additional Board Directors and clarity about the relationship with stakeholders.</w:t>
      </w:r>
    </w:p>
    <w:p w:rsidR="008F477B" w:rsidRDefault="008F477B" w:rsidP="008F477B">
      <w:pPr>
        <w:pStyle w:val="ListParagraph"/>
        <w:tabs>
          <w:tab w:val="left" w:pos="2040"/>
        </w:tabs>
        <w:ind w:left="360"/>
      </w:pPr>
      <w:r>
        <w:tab/>
      </w:r>
    </w:p>
    <w:p w:rsidR="0040736F" w:rsidRDefault="002329CF" w:rsidP="004A6D2F">
      <w:pPr>
        <w:pStyle w:val="Heading1"/>
      </w:pPr>
      <w:r w:rsidRPr="001356F1">
        <w:t>Financial implications</w:t>
      </w:r>
    </w:p>
    <w:p w:rsidR="005B18C1" w:rsidRPr="00970334" w:rsidRDefault="005B18C1" w:rsidP="005B18C1">
      <w:pPr>
        <w:rPr>
          <w:color w:val="auto"/>
          <w:u w:val="single"/>
        </w:rPr>
      </w:pPr>
      <w:r w:rsidRPr="00970334">
        <w:rPr>
          <w:color w:val="auto"/>
          <w:u w:val="single"/>
        </w:rPr>
        <w:t>Medium Term Financial Plan</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2019/20 approved budget and MTFP elements relating to the housing company </w:t>
      </w:r>
      <w:r w:rsidR="003D3278" w:rsidRPr="00970334">
        <w:rPr>
          <w:rStyle w:val="ListParagraphChar"/>
          <w:color w:val="auto"/>
        </w:rPr>
        <w:t xml:space="preserve">  </w:t>
      </w:r>
      <w:r w:rsidRPr="00970334">
        <w:rPr>
          <w:rStyle w:val="ListParagraphChar"/>
          <w:color w:val="auto"/>
        </w:rPr>
        <w:t>are predicated on the previous OCHL strategy, namely the company would develop and then retain, manage and maintain the non-private sales properties on all the development sites as well as purchasing and managing the Barton acquisitions. The associated long term company borrowing that would consequently be required and represented in the then phasing of estimated activity, produced a total expectation of resources to be returned to the Council from OCHL and this is reflected in the current MTFP 4 year period (2019/20 to 2022/23)</w:t>
      </w:r>
      <w:r w:rsidR="00100A48" w:rsidRPr="00970334">
        <w:rPr>
          <w:rStyle w:val="ListParagraphChar"/>
          <w:color w:val="auto"/>
        </w:rPr>
        <w:t xml:space="preserve"> approved at Council in February 2019</w:t>
      </w:r>
      <w:r w:rsidRPr="00970334">
        <w:rPr>
          <w:rStyle w:val="ListParagraphChar"/>
          <w:color w:val="auto"/>
        </w:rPr>
        <w:t>.</w:t>
      </w:r>
    </w:p>
    <w:p w:rsidR="005B18C1" w:rsidRPr="00970334" w:rsidRDefault="003D3278" w:rsidP="00970334">
      <w:pPr>
        <w:pStyle w:val="ListParagraph"/>
        <w:numPr>
          <w:ilvl w:val="0"/>
          <w:numId w:val="14"/>
        </w:numPr>
        <w:rPr>
          <w:rStyle w:val="ListParagraphChar"/>
          <w:color w:val="auto"/>
        </w:rPr>
      </w:pPr>
      <w:r w:rsidRPr="00970334">
        <w:rPr>
          <w:rStyle w:val="ListParagraphChar"/>
          <w:color w:val="auto"/>
        </w:rPr>
        <w:t xml:space="preserve"> </w:t>
      </w:r>
      <w:r w:rsidR="005B18C1" w:rsidRPr="00970334">
        <w:rPr>
          <w:rStyle w:val="ListParagraphChar"/>
          <w:color w:val="auto"/>
        </w:rPr>
        <w:t xml:space="preserve">The revised OCHL strategy to now sell the dwellings it was previously going to manage to the Council’s HRA has meant that along with updated phasing of the development activity since the approved </w:t>
      </w:r>
      <w:r w:rsidRPr="00970334">
        <w:rPr>
          <w:rStyle w:val="ListParagraphChar"/>
          <w:color w:val="auto"/>
        </w:rPr>
        <w:t>budget;</w:t>
      </w:r>
      <w:r w:rsidR="005B18C1" w:rsidRPr="00970334">
        <w:rPr>
          <w:rStyle w:val="ListParagraphChar"/>
          <w:color w:val="auto"/>
        </w:rPr>
        <w:t xml:space="preserve"> the housing company returns to the Council’s MTFP have inevitably changed. </w:t>
      </w:r>
      <w:r w:rsidR="00343FC0" w:rsidRPr="00970334">
        <w:rPr>
          <w:rStyle w:val="ListParagraphChar"/>
          <w:color w:val="auto"/>
        </w:rPr>
        <w:t xml:space="preserve"> </w:t>
      </w:r>
      <w:r w:rsidR="004351D6" w:rsidRPr="00970334">
        <w:rPr>
          <w:rStyle w:val="ListParagraphChar"/>
          <w:color w:val="auto"/>
        </w:rPr>
        <w:t>T</w:t>
      </w:r>
      <w:r w:rsidR="005B18C1" w:rsidRPr="00970334">
        <w:rPr>
          <w:rStyle w:val="ListParagraphChar"/>
          <w:color w:val="auto"/>
        </w:rPr>
        <w:t>he table below confirms that OCHL is still able to meet its current MTFP obligations as originally planned</w:t>
      </w:r>
      <w:r w:rsidR="00100A48" w:rsidRPr="00970334">
        <w:rPr>
          <w:rStyle w:val="ListParagraphChar"/>
          <w:color w:val="auto"/>
        </w:rPr>
        <w:t xml:space="preserve"> with a modest additional £615k forecast over the four year period. In practice given the size of the increased capital programme and the intricacies of additional borrowing it would be prudent not to account for this additional income in the MTFP at this stage</w:t>
      </w:r>
      <w:r w:rsidR="005B18C1" w:rsidRPr="00970334">
        <w:rPr>
          <w:rStyle w:val="ListParagraphChar"/>
          <w:color w:val="auto"/>
        </w:rPr>
        <w:t xml:space="preserve">.  </w:t>
      </w:r>
      <w:r w:rsidR="00100A48" w:rsidRPr="00970334">
        <w:rPr>
          <w:rStyle w:val="ListParagraphChar"/>
          <w:color w:val="auto"/>
        </w:rPr>
        <w:t xml:space="preserve">Members should also </w:t>
      </w:r>
      <w:r w:rsidR="005B18C1" w:rsidRPr="00970334">
        <w:rPr>
          <w:rStyle w:val="ListParagraphChar"/>
          <w:color w:val="auto"/>
        </w:rPr>
        <w:t xml:space="preserve">note that it is only the OCHL elements of the MTFP that have been re-run. The rest of the MTFP assumptions </w:t>
      </w:r>
      <w:r w:rsidR="005B18C1" w:rsidRPr="00970334">
        <w:rPr>
          <w:rStyle w:val="ListParagraphChar"/>
          <w:color w:val="auto"/>
        </w:rPr>
        <w:lastRenderedPageBreak/>
        <w:t xml:space="preserve">not related to this report will be updated during the 2020/21 budget exercise that will start </w:t>
      </w:r>
      <w:r w:rsidR="000C23DF" w:rsidRPr="00970334">
        <w:rPr>
          <w:rStyle w:val="ListParagraphChar"/>
          <w:color w:val="auto"/>
        </w:rPr>
        <w:t xml:space="preserve">in </w:t>
      </w:r>
      <w:r w:rsidR="005B18C1" w:rsidRPr="00970334">
        <w:rPr>
          <w:rStyle w:val="ListParagraphChar"/>
          <w:color w:val="auto"/>
        </w:rPr>
        <w:t>late summer</w:t>
      </w:r>
      <w:r w:rsidR="000C23DF" w:rsidRPr="00970334">
        <w:rPr>
          <w:rStyle w:val="ListParagraphChar"/>
          <w:color w:val="auto"/>
        </w:rPr>
        <w:t xml:space="preserve"> 2019</w:t>
      </w:r>
      <w:r w:rsidR="005B18C1" w:rsidRPr="00970334">
        <w:rPr>
          <w:rStyle w:val="ListParagraphChar"/>
          <w:color w:val="auto"/>
        </w:rPr>
        <w:t>.</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Members should note that at the end of the MTFP period the 2022/23 annual expected return from OCHL is gross c. £2.3m. I</w:t>
      </w:r>
      <w:r w:rsidR="00100A48" w:rsidRPr="00970334">
        <w:rPr>
          <w:rStyle w:val="ListParagraphChar"/>
          <w:color w:val="auto"/>
        </w:rPr>
        <w:t>n</w:t>
      </w:r>
      <w:r w:rsidRPr="00970334">
        <w:rPr>
          <w:rStyle w:val="ListParagraphChar"/>
          <w:color w:val="auto"/>
        </w:rPr>
        <w:t xml:space="preserve"> </w:t>
      </w:r>
      <w:r w:rsidR="00100A48" w:rsidRPr="00970334">
        <w:rPr>
          <w:rStyle w:val="ListParagraphChar"/>
          <w:color w:val="auto"/>
        </w:rPr>
        <w:t xml:space="preserve">order to meet this level of return </w:t>
      </w:r>
      <w:r w:rsidRPr="00970334">
        <w:rPr>
          <w:rStyle w:val="ListParagraphChar"/>
          <w:color w:val="auto"/>
        </w:rPr>
        <w:t xml:space="preserve">each year to support the MTFP it is essential a continuous on-going year-on-year programme of development is identified, undertaken and delivered by OCHL. Thus the work of securing future sites both inside and outside of Oxford, the identification of more commercially orientated opportunities and the exploration of </w:t>
      </w:r>
      <w:r w:rsidR="003D3278" w:rsidRPr="00970334">
        <w:rPr>
          <w:rStyle w:val="ListParagraphChar"/>
          <w:color w:val="auto"/>
        </w:rPr>
        <w:t>j</w:t>
      </w:r>
      <w:r w:rsidR="000C23DF" w:rsidRPr="00970334">
        <w:rPr>
          <w:rStyle w:val="ListParagraphChar"/>
          <w:color w:val="auto"/>
        </w:rPr>
        <w:t xml:space="preserve">oint </w:t>
      </w:r>
      <w:r w:rsidR="003D3278" w:rsidRPr="00970334">
        <w:rPr>
          <w:rStyle w:val="ListParagraphChar"/>
          <w:color w:val="auto"/>
        </w:rPr>
        <w:t>v</w:t>
      </w:r>
      <w:r w:rsidR="000C23DF" w:rsidRPr="00970334">
        <w:rPr>
          <w:rStyle w:val="ListParagraphChar"/>
          <w:color w:val="auto"/>
        </w:rPr>
        <w:t>enture</w:t>
      </w:r>
      <w:r w:rsidRPr="00970334">
        <w:rPr>
          <w:rStyle w:val="ListParagraphChar"/>
          <w:color w:val="auto"/>
        </w:rPr>
        <w:t xml:space="preserve"> partnerships must be considered as is the potential of extending tenures to satisfy </w:t>
      </w:r>
      <w:r w:rsidR="005C3220" w:rsidRPr="00970334">
        <w:rPr>
          <w:rStyle w:val="ListParagraphChar"/>
          <w:color w:val="auto"/>
        </w:rPr>
        <w:t xml:space="preserve">the housing needs of </w:t>
      </w:r>
      <w:r w:rsidRPr="00970334">
        <w:rPr>
          <w:rStyle w:val="ListParagraphChar"/>
          <w:color w:val="auto"/>
        </w:rPr>
        <w:t>other groups in Oxford e.g. key workers etc.</w:t>
      </w:r>
    </w:p>
    <w:p w:rsidR="00DE5C36" w:rsidRDefault="00DE5C36" w:rsidP="005B18C1">
      <w:pPr>
        <w:rPr>
          <w:color w:val="auto"/>
        </w:rPr>
      </w:pPr>
    </w:p>
    <w:p w:rsidR="005B18C1" w:rsidRDefault="005B18C1" w:rsidP="005B18C1">
      <w:pPr>
        <w:rPr>
          <w:color w:val="auto"/>
        </w:rPr>
      </w:pPr>
      <w:r>
        <w:rPr>
          <w:color w:val="auto"/>
        </w:rPr>
        <w:t>A summary of the revised MTFP</w:t>
      </w:r>
      <w:r w:rsidR="00DD74EB">
        <w:rPr>
          <w:color w:val="auto"/>
        </w:rPr>
        <w:t xml:space="preserve"> </w:t>
      </w:r>
      <w:r>
        <w:rPr>
          <w:color w:val="auto"/>
        </w:rPr>
        <w:t>movement position</w:t>
      </w:r>
      <w:r w:rsidR="00DD74EB" w:rsidRPr="00DD74EB">
        <w:rPr>
          <w:color w:val="auto"/>
        </w:rPr>
        <w:t xml:space="preserve"> </w:t>
      </w:r>
      <w:r w:rsidR="00DD74EB">
        <w:rPr>
          <w:color w:val="auto"/>
        </w:rPr>
        <w:t xml:space="preserve">for 19/20- 22/23 </w:t>
      </w:r>
      <w:r>
        <w:rPr>
          <w:color w:val="auto"/>
        </w:rPr>
        <w:t>is given in the following table:</w:t>
      </w:r>
    </w:p>
    <w:p w:rsidR="002C29CA" w:rsidRDefault="002C29CA" w:rsidP="005B18C1">
      <w:pPr>
        <w:rPr>
          <w:color w:val="auto"/>
        </w:rPr>
      </w:pPr>
    </w:p>
    <w:p w:rsidR="005B18C1" w:rsidRDefault="002C29CA" w:rsidP="005B18C1">
      <w:pPr>
        <w:rPr>
          <w:color w:val="auto"/>
        </w:rPr>
      </w:pPr>
      <w:r w:rsidRPr="002C29CA">
        <w:rPr>
          <w:noProof/>
        </w:rPr>
        <w:drawing>
          <wp:inline distT="0" distB="0" distL="0" distR="0" wp14:anchorId="681AD3DE" wp14:editId="683ED3CC">
            <wp:extent cx="5904230" cy="26492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2649220"/>
                    </a:xfrm>
                    <a:prstGeom prst="rect">
                      <a:avLst/>
                    </a:prstGeom>
                    <a:noFill/>
                    <a:ln>
                      <a:noFill/>
                    </a:ln>
                  </pic:spPr>
                </pic:pic>
              </a:graphicData>
            </a:graphic>
          </wp:inline>
        </w:drawing>
      </w:r>
    </w:p>
    <w:p w:rsidR="005B18C1" w:rsidRPr="00026E0C" w:rsidRDefault="005B18C1" w:rsidP="005B18C1">
      <w:pPr>
        <w:rPr>
          <w:color w:val="auto"/>
        </w:rPr>
      </w:pPr>
    </w:p>
    <w:p w:rsidR="005B18C1" w:rsidRPr="00970334" w:rsidRDefault="005B18C1" w:rsidP="005B18C1">
      <w:pPr>
        <w:rPr>
          <w:color w:val="auto"/>
          <w:u w:val="single"/>
        </w:rPr>
      </w:pPr>
      <w:r w:rsidRPr="00970334">
        <w:rPr>
          <w:color w:val="auto"/>
          <w:u w:val="single"/>
        </w:rPr>
        <w:t>Housing Revenue Account</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current financial position of the HRA, despite the continuation of the 4 year 1% rent reduction and additional spending commitments e.g. increasing Tower Blocks etc. the account has nonetheless built up some healthy reserves for future spend and is yet to undertake any headroom borrowing. With the debt cap now removed the opportunities to acquire more social housing to be managed within the HRA now transpires and it is this strategy that </w:t>
      </w:r>
      <w:r w:rsidR="000C23DF" w:rsidRPr="00970334">
        <w:rPr>
          <w:rStyle w:val="ListParagraphChar"/>
          <w:color w:val="auto"/>
        </w:rPr>
        <w:t>the Council is</w:t>
      </w:r>
      <w:r w:rsidRPr="00970334">
        <w:rPr>
          <w:rStyle w:val="ListParagraphChar"/>
          <w:color w:val="auto"/>
        </w:rPr>
        <w:t xml:space="preserve"> now pursuing.</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The HRA will acquire newly built properties effectively de-risking the development activity out of the HRA</w:t>
      </w:r>
      <w:r w:rsidR="00DD74EB" w:rsidRPr="00970334">
        <w:rPr>
          <w:rStyle w:val="ListParagraphChar"/>
          <w:color w:val="auto"/>
        </w:rPr>
        <w:t>.</w:t>
      </w:r>
      <w:r w:rsidRPr="00970334">
        <w:rPr>
          <w:rStyle w:val="ListParagraphChar"/>
          <w:color w:val="auto"/>
        </w:rPr>
        <w:t xml:space="preserve"> It is estimated that the increase in the HRA capital budget will be £3.460m in 2019/20 and £41.843m in 2020/21.</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Given the availability of other sources of capital funding to the HRA the additional borrowing element needed by the HRA to fund the proposed acquisitions is £1.795m in 2019/20 and £11.385m in 2020/21. A comparison of </w:t>
      </w:r>
      <w:r w:rsidRPr="00970334">
        <w:rPr>
          <w:rStyle w:val="ListParagraphChar"/>
          <w:color w:val="auto"/>
        </w:rPr>
        <w:lastRenderedPageBreak/>
        <w:t>the revised HRA revenue and capital positions with that recently approved for 2019/20 is exemplified at Appendix 1 and 2.</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 xml:space="preserve">The above activity includes the additional HRA acquisitions arising at the Between Towns Road site, where the HRA is also buying those properties originally earmarked for private sale. This is also to continue to support the Oxfordshire </w:t>
      </w:r>
      <w:r w:rsidR="00C76F52" w:rsidRPr="00970334">
        <w:rPr>
          <w:rStyle w:val="ListParagraphChar"/>
          <w:color w:val="auto"/>
        </w:rPr>
        <w:t xml:space="preserve">Housing and </w:t>
      </w:r>
      <w:r w:rsidRPr="00970334">
        <w:rPr>
          <w:rStyle w:val="ListParagraphChar"/>
          <w:color w:val="auto"/>
        </w:rPr>
        <w:t xml:space="preserve">Growth Deal. </w:t>
      </w:r>
      <w:r w:rsidR="00C76F52" w:rsidRPr="00970334">
        <w:rPr>
          <w:rStyle w:val="ListParagraphChar"/>
          <w:color w:val="auto"/>
        </w:rPr>
        <w:t>Similarly t</w:t>
      </w:r>
      <w:r w:rsidRPr="00970334">
        <w:rPr>
          <w:rStyle w:val="ListParagraphChar"/>
          <w:color w:val="auto"/>
        </w:rPr>
        <w:t>he opportunity for the HRA to acquire the private sales provision on other sites was explored but these did not deliver on an individual scheme by scheme basis what one would consider suitable V</w:t>
      </w:r>
      <w:r w:rsidR="00C76F52" w:rsidRPr="00970334">
        <w:rPr>
          <w:rStyle w:val="ListParagraphChar"/>
          <w:color w:val="auto"/>
        </w:rPr>
        <w:t xml:space="preserve">alue </w:t>
      </w:r>
      <w:proofErr w:type="gramStart"/>
      <w:r w:rsidRPr="00970334">
        <w:rPr>
          <w:rStyle w:val="ListParagraphChar"/>
          <w:color w:val="auto"/>
        </w:rPr>
        <w:t>F</w:t>
      </w:r>
      <w:r w:rsidR="00C76F52" w:rsidRPr="00970334">
        <w:rPr>
          <w:rStyle w:val="ListParagraphChar"/>
          <w:color w:val="auto"/>
        </w:rPr>
        <w:t>or</w:t>
      </w:r>
      <w:proofErr w:type="gramEnd"/>
      <w:r w:rsidR="00C76F52" w:rsidRPr="00970334">
        <w:rPr>
          <w:rStyle w:val="ListParagraphChar"/>
          <w:color w:val="auto"/>
        </w:rPr>
        <w:t xml:space="preserve"> </w:t>
      </w:r>
      <w:r w:rsidRPr="00970334">
        <w:rPr>
          <w:rStyle w:val="ListParagraphChar"/>
          <w:color w:val="auto"/>
        </w:rPr>
        <w:t>M</w:t>
      </w:r>
      <w:r w:rsidR="00C76F52" w:rsidRPr="00970334">
        <w:rPr>
          <w:rStyle w:val="ListParagraphChar"/>
          <w:color w:val="auto"/>
        </w:rPr>
        <w:t>oney</w:t>
      </w:r>
      <w:r w:rsidRPr="00970334">
        <w:rPr>
          <w:rStyle w:val="ListParagraphChar"/>
          <w:color w:val="auto"/>
        </w:rPr>
        <w:t xml:space="preserve"> returns for the HRA and its tenants. </w:t>
      </w:r>
    </w:p>
    <w:p w:rsidR="005B18C1" w:rsidRPr="00970334" w:rsidRDefault="005B18C1" w:rsidP="00970334">
      <w:pPr>
        <w:pStyle w:val="ListParagraph"/>
        <w:numPr>
          <w:ilvl w:val="0"/>
          <w:numId w:val="14"/>
        </w:numPr>
        <w:rPr>
          <w:rStyle w:val="ListParagraphChar"/>
          <w:color w:val="auto"/>
        </w:rPr>
      </w:pPr>
      <w:r w:rsidRPr="00970334">
        <w:rPr>
          <w:rStyle w:val="ListParagraphChar"/>
          <w:color w:val="auto"/>
        </w:rPr>
        <w:t>The HRA</w:t>
      </w:r>
      <w:r w:rsidR="005C3220" w:rsidRPr="00970334">
        <w:rPr>
          <w:rStyle w:val="ListParagraphChar"/>
          <w:color w:val="auto"/>
        </w:rPr>
        <w:t xml:space="preserve"> (see</w:t>
      </w:r>
      <w:r w:rsidRPr="00970334">
        <w:rPr>
          <w:rStyle w:val="ListParagraphChar"/>
          <w:color w:val="auto"/>
        </w:rPr>
        <w:t xml:space="preserve"> appendix</w:t>
      </w:r>
      <w:r w:rsidR="005C3220" w:rsidRPr="00970334">
        <w:rPr>
          <w:rStyle w:val="ListParagraphChar"/>
          <w:color w:val="auto"/>
        </w:rPr>
        <w:t xml:space="preserve"> </w:t>
      </w:r>
      <w:proofErr w:type="gramStart"/>
      <w:r w:rsidR="005C3220" w:rsidRPr="00970334">
        <w:rPr>
          <w:rStyle w:val="ListParagraphChar"/>
          <w:color w:val="auto"/>
        </w:rPr>
        <w:t>2 )</w:t>
      </w:r>
      <w:proofErr w:type="gramEnd"/>
      <w:r w:rsidRPr="00970334">
        <w:rPr>
          <w:rStyle w:val="ListParagraphChar"/>
          <w:color w:val="auto"/>
        </w:rPr>
        <w:t xml:space="preserve"> does indicate that future balances do diminish from 2021/22 by the presumed decision that debt redemption activity of the newly acquired debt will start from this year.</w:t>
      </w:r>
    </w:p>
    <w:p w:rsidR="006C3AC1" w:rsidRPr="00970334" w:rsidRDefault="006C3AC1" w:rsidP="00970334">
      <w:pPr>
        <w:pStyle w:val="ListParagraph"/>
        <w:numPr>
          <w:ilvl w:val="0"/>
          <w:numId w:val="14"/>
        </w:numPr>
        <w:rPr>
          <w:rStyle w:val="ListParagraphChar"/>
          <w:color w:val="auto"/>
        </w:rPr>
      </w:pPr>
      <w:r w:rsidRPr="00970334">
        <w:rPr>
          <w:rStyle w:val="ListParagraphChar"/>
          <w:color w:val="auto"/>
        </w:rPr>
        <w:t xml:space="preserve">The extent with which </w:t>
      </w:r>
      <w:r w:rsidR="00C76F52" w:rsidRPr="00970334">
        <w:rPr>
          <w:rStyle w:val="ListParagraphChar"/>
          <w:color w:val="auto"/>
        </w:rPr>
        <w:t xml:space="preserve">the Council </w:t>
      </w:r>
      <w:r w:rsidRPr="00970334">
        <w:rPr>
          <w:rStyle w:val="ListParagraphChar"/>
          <w:color w:val="auto"/>
        </w:rPr>
        <w:t>could continue with this approach going forward</w:t>
      </w:r>
      <w:r w:rsidR="00C76F52" w:rsidRPr="00970334">
        <w:rPr>
          <w:rStyle w:val="ListParagraphChar"/>
          <w:color w:val="auto"/>
        </w:rPr>
        <w:t>s</w:t>
      </w:r>
      <w:r w:rsidRPr="00970334">
        <w:rPr>
          <w:rStyle w:val="ListParagraphChar"/>
          <w:color w:val="auto"/>
        </w:rPr>
        <w:t xml:space="preserve"> will be dependent on an overarching strategic review of the other competing demands for HRA investment in existing assets such as regeneration projects. This will be incorporated into future HRA business planning</w:t>
      </w:r>
    </w:p>
    <w:p w:rsidR="006C3AC1" w:rsidRPr="00970334" w:rsidRDefault="006C3AC1" w:rsidP="00970334">
      <w:pPr>
        <w:pStyle w:val="ListParagraph"/>
        <w:numPr>
          <w:ilvl w:val="0"/>
          <w:numId w:val="14"/>
        </w:numPr>
        <w:rPr>
          <w:rStyle w:val="ListParagraphChar"/>
          <w:color w:val="auto"/>
        </w:rPr>
      </w:pPr>
      <w:r w:rsidRPr="00970334">
        <w:rPr>
          <w:rStyle w:val="ListParagraphChar"/>
          <w:color w:val="auto"/>
        </w:rPr>
        <w:t>OCHL</w:t>
      </w:r>
      <w:r w:rsidR="00C76F52" w:rsidRPr="00970334">
        <w:rPr>
          <w:rStyle w:val="ListParagraphChar"/>
          <w:color w:val="auto"/>
        </w:rPr>
        <w:t>’</w:t>
      </w:r>
      <w:r w:rsidRPr="00970334">
        <w:rPr>
          <w:rStyle w:val="ListParagraphChar"/>
          <w:color w:val="auto"/>
        </w:rPr>
        <w:t>s delivery programme requires the development of 10 sites that are currently in Council ownership. In order to facilitate this development programme and to reduce the financial risk to OCHL, it will be necessary for the land to be transferred into OCHL at the start of the development process for each site. The land associated with the affordable housing would be transferred back to the HRA when the development is completed along with the freehold of blocks containing both affordable and private homes. Any market sales that were capable of a freehold disposal would be disposed of completely.</w:t>
      </w:r>
    </w:p>
    <w:p w:rsidR="006C3AC1" w:rsidRPr="00254338" w:rsidRDefault="006C3AC1" w:rsidP="00254338">
      <w:pPr>
        <w:pStyle w:val="ListParagraph"/>
        <w:numPr>
          <w:ilvl w:val="0"/>
          <w:numId w:val="14"/>
        </w:numPr>
        <w:rPr>
          <w:rStyle w:val="ListParagraphChar"/>
          <w:color w:val="auto"/>
        </w:rPr>
      </w:pPr>
      <w:r w:rsidRPr="00254338">
        <w:rPr>
          <w:rStyle w:val="ListParagraphChar"/>
          <w:color w:val="auto"/>
        </w:rPr>
        <w:t>The development programme has been structured to ensure that at least 50% affordable housing is provided on all qualifying sites and homes are constructed to high levels of insulation to reduce carbon footprints and address fuel poverty for tenants. It is therefore important that the value of land transferring into OCHL fully reflects the costs of meeting Council aspirations for these schemes and the current build costs being experienced in the market. Hence these sites will be valued once the quantum of development and tenure mix is fixed and the build costs are understood</w:t>
      </w:r>
      <w:r w:rsidR="00C76F52" w:rsidRPr="00254338">
        <w:rPr>
          <w:rStyle w:val="ListParagraphChar"/>
          <w:color w:val="auto"/>
        </w:rPr>
        <w:t>,</w:t>
      </w:r>
      <w:r w:rsidRPr="00254338">
        <w:rPr>
          <w:rStyle w:val="ListParagraphChar"/>
          <w:color w:val="auto"/>
        </w:rPr>
        <w:t xml:space="preserve"> to maximise</w:t>
      </w:r>
      <w:r w:rsidR="0003380C" w:rsidRPr="00254338">
        <w:rPr>
          <w:rStyle w:val="ListParagraphChar"/>
          <w:color w:val="auto"/>
        </w:rPr>
        <w:t xml:space="preserve"> </w:t>
      </w:r>
      <w:r w:rsidR="000516E3" w:rsidRPr="00254338">
        <w:rPr>
          <w:rStyle w:val="ListParagraphChar"/>
          <w:color w:val="auto"/>
        </w:rPr>
        <w:t>the chance of success for OCHL and to maximise the returns to the Council from this process.</w:t>
      </w:r>
    </w:p>
    <w:p w:rsidR="000516E3" w:rsidRPr="00254338" w:rsidRDefault="006C3AC1" w:rsidP="00254338">
      <w:pPr>
        <w:pStyle w:val="ListParagraph"/>
        <w:numPr>
          <w:ilvl w:val="0"/>
          <w:numId w:val="14"/>
        </w:numPr>
        <w:rPr>
          <w:rStyle w:val="ListParagraphChar"/>
          <w:color w:val="auto"/>
        </w:rPr>
      </w:pPr>
      <w:r w:rsidRPr="00254338">
        <w:rPr>
          <w:rStyle w:val="ListParagraphChar"/>
          <w:color w:val="auto"/>
        </w:rPr>
        <w:t>The re-run of the OCHL business plan reflecting the above change in strategy will be presented to the Shareholder in a detailed report at the next Shareholder meeting</w:t>
      </w:r>
      <w:r w:rsidR="00100A48" w:rsidRPr="00254338">
        <w:rPr>
          <w:rStyle w:val="ListParagraphChar"/>
          <w:color w:val="auto"/>
        </w:rPr>
        <w:t>. That said the Directors of the company</w:t>
      </w:r>
      <w:r w:rsidR="005C3220" w:rsidRPr="00254338">
        <w:rPr>
          <w:rStyle w:val="ListParagraphChar"/>
          <w:color w:val="auto"/>
        </w:rPr>
        <w:t xml:space="preserve"> have</w:t>
      </w:r>
      <w:r w:rsidR="00100A48" w:rsidRPr="00254338">
        <w:rPr>
          <w:rStyle w:val="ListParagraphChar"/>
          <w:color w:val="auto"/>
        </w:rPr>
        <w:t xml:space="preserve"> indicated that they </w:t>
      </w:r>
      <w:r w:rsidR="00704D06" w:rsidRPr="00254338">
        <w:rPr>
          <w:rStyle w:val="ListParagraphChar"/>
          <w:color w:val="auto"/>
        </w:rPr>
        <w:t>are content with the revisions in accordance with this revised strategy and the housing company group continues as a profitable long term going concern.</w:t>
      </w:r>
    </w:p>
    <w:p w:rsidR="00704D06" w:rsidRDefault="00704D06" w:rsidP="00C51838">
      <w:pPr>
        <w:rPr>
          <w:b/>
          <w:color w:val="auto"/>
        </w:rPr>
      </w:pPr>
    </w:p>
    <w:p w:rsidR="0040736F" w:rsidRPr="003D3278" w:rsidRDefault="00DA614B" w:rsidP="00C51838">
      <w:pPr>
        <w:rPr>
          <w:b/>
          <w:color w:val="auto"/>
        </w:rPr>
      </w:pPr>
      <w:r w:rsidRPr="003D3278">
        <w:rPr>
          <w:b/>
          <w:color w:val="auto"/>
        </w:rPr>
        <w:t>Legal issues</w:t>
      </w:r>
    </w:p>
    <w:p w:rsidR="00A82508" w:rsidRPr="00254338" w:rsidRDefault="00A82508" w:rsidP="00254338">
      <w:pPr>
        <w:pStyle w:val="ListParagraph"/>
        <w:numPr>
          <w:ilvl w:val="0"/>
          <w:numId w:val="14"/>
        </w:numPr>
        <w:rPr>
          <w:rStyle w:val="ListParagraphChar"/>
          <w:color w:val="auto"/>
        </w:rPr>
      </w:pPr>
      <w:r w:rsidRPr="00254338">
        <w:rPr>
          <w:rStyle w:val="ListParagraphChar"/>
          <w:color w:val="auto"/>
        </w:rPr>
        <w:t>The Council has the power to dispose of land at best consideration pursuant to Section 123 of the Local Government Act 1972, and has the power to acquire completed affordable housing units pursuant to Section 17 of the Housing Act 1985</w:t>
      </w:r>
      <w:r w:rsidR="00254338">
        <w:rPr>
          <w:rStyle w:val="ListParagraphChar"/>
          <w:color w:val="auto"/>
        </w:rPr>
        <w:t>.</w:t>
      </w:r>
    </w:p>
    <w:p w:rsidR="00F736F3" w:rsidRPr="00254338" w:rsidRDefault="005B18C1" w:rsidP="00254338">
      <w:pPr>
        <w:pStyle w:val="ListParagraph"/>
        <w:numPr>
          <w:ilvl w:val="0"/>
          <w:numId w:val="14"/>
        </w:numPr>
        <w:rPr>
          <w:rStyle w:val="ListParagraphChar"/>
          <w:color w:val="auto"/>
        </w:rPr>
      </w:pPr>
      <w:r w:rsidRPr="00254338">
        <w:rPr>
          <w:rStyle w:val="ListParagraphChar"/>
          <w:color w:val="auto"/>
        </w:rPr>
        <w:t xml:space="preserve">The approach set out here is legally compliant. </w:t>
      </w:r>
      <w:r w:rsidR="00F736F3" w:rsidRPr="00254338">
        <w:rPr>
          <w:rStyle w:val="ListParagraphChar"/>
          <w:color w:val="auto"/>
        </w:rPr>
        <w:t xml:space="preserve">External legal advice, from Trowers and Hamlin solicitors, was </w:t>
      </w:r>
      <w:r w:rsidR="006C3AC1" w:rsidRPr="00254338">
        <w:rPr>
          <w:rStyle w:val="ListParagraphChar"/>
          <w:color w:val="auto"/>
        </w:rPr>
        <w:t>obtained,</w:t>
      </w:r>
      <w:r w:rsidR="00F736F3" w:rsidRPr="00254338">
        <w:rPr>
          <w:rStyle w:val="ListParagraphChar"/>
          <w:color w:val="auto"/>
        </w:rPr>
        <w:t xml:space="preserve"> and their confidential and </w:t>
      </w:r>
      <w:r w:rsidR="00F736F3" w:rsidRPr="00254338">
        <w:rPr>
          <w:rStyle w:val="ListParagraphChar"/>
          <w:color w:val="auto"/>
        </w:rPr>
        <w:lastRenderedPageBreak/>
        <w:t xml:space="preserve">privileged advice is attached as an exempt appendix to this report. The Council and </w:t>
      </w:r>
      <w:proofErr w:type="gramStart"/>
      <w:r w:rsidR="00F736F3" w:rsidRPr="00254338">
        <w:rPr>
          <w:rStyle w:val="ListParagraphChar"/>
          <w:color w:val="auto"/>
        </w:rPr>
        <w:t>OCH(</w:t>
      </w:r>
      <w:proofErr w:type="gramEnd"/>
      <w:r w:rsidR="00F736F3" w:rsidRPr="00254338">
        <w:rPr>
          <w:rStyle w:val="ListParagraphChar"/>
          <w:color w:val="auto"/>
        </w:rPr>
        <w:t xml:space="preserve">D)L will of course need </w:t>
      </w:r>
      <w:r w:rsidR="004351D6" w:rsidRPr="00254338">
        <w:rPr>
          <w:rStyle w:val="ListParagraphChar"/>
          <w:color w:val="auto"/>
        </w:rPr>
        <w:t xml:space="preserve"> </w:t>
      </w:r>
      <w:r w:rsidR="00472C87" w:rsidRPr="00254338">
        <w:rPr>
          <w:rStyle w:val="ListParagraphChar"/>
          <w:color w:val="auto"/>
        </w:rPr>
        <w:t xml:space="preserve">to </w:t>
      </w:r>
      <w:r w:rsidR="004351D6" w:rsidRPr="00254338">
        <w:rPr>
          <w:rStyle w:val="ListParagraphChar"/>
          <w:color w:val="auto"/>
        </w:rPr>
        <w:t>ensure</w:t>
      </w:r>
      <w:r w:rsidR="00F736F3" w:rsidRPr="00254338">
        <w:rPr>
          <w:rStyle w:val="ListParagraphChar"/>
          <w:color w:val="auto"/>
        </w:rPr>
        <w:t xml:space="preserve"> that the value of </w:t>
      </w:r>
      <w:r w:rsidR="00472C87" w:rsidRPr="00254338">
        <w:rPr>
          <w:rStyle w:val="ListParagraphChar"/>
          <w:color w:val="auto"/>
        </w:rPr>
        <w:t xml:space="preserve">the </w:t>
      </w:r>
      <w:r w:rsidR="004351D6" w:rsidRPr="00254338">
        <w:rPr>
          <w:rStyle w:val="ListParagraphChar"/>
          <w:color w:val="auto"/>
        </w:rPr>
        <w:t xml:space="preserve">property </w:t>
      </w:r>
      <w:r w:rsidR="00F736F3" w:rsidRPr="00254338">
        <w:rPr>
          <w:rStyle w:val="ListParagraphChar"/>
          <w:color w:val="auto"/>
        </w:rPr>
        <w:t xml:space="preserve"> transaction</w:t>
      </w:r>
      <w:r w:rsidR="004351D6" w:rsidRPr="00254338">
        <w:rPr>
          <w:rStyle w:val="ListParagraphChar"/>
          <w:color w:val="auto"/>
        </w:rPr>
        <w:t xml:space="preserve">s </w:t>
      </w:r>
      <w:r w:rsidR="00472C87" w:rsidRPr="00254338">
        <w:rPr>
          <w:rStyle w:val="ListParagraphChar"/>
          <w:color w:val="auto"/>
        </w:rPr>
        <w:t xml:space="preserve">made </w:t>
      </w:r>
      <w:r w:rsidR="004351D6" w:rsidRPr="00254338">
        <w:rPr>
          <w:rStyle w:val="ListParagraphChar"/>
          <w:color w:val="auto"/>
        </w:rPr>
        <w:t>between them</w:t>
      </w:r>
      <w:r w:rsidR="00F736F3" w:rsidRPr="00254338">
        <w:rPr>
          <w:rStyle w:val="ListParagraphChar"/>
          <w:color w:val="auto"/>
        </w:rPr>
        <w:t xml:space="preserve"> creates </w:t>
      </w:r>
      <w:r w:rsidR="004351D6" w:rsidRPr="00254338">
        <w:rPr>
          <w:rStyle w:val="ListParagraphChar"/>
          <w:color w:val="auto"/>
        </w:rPr>
        <w:t>no</w:t>
      </w:r>
      <w:r w:rsidR="00F736F3" w:rsidRPr="00254338">
        <w:rPr>
          <w:rStyle w:val="ListParagraphChar"/>
          <w:color w:val="auto"/>
        </w:rPr>
        <w:t xml:space="preserve"> opportunity for challenge as representing unlawful State Aid to OCHL.</w:t>
      </w:r>
    </w:p>
    <w:p w:rsidR="00F736F3" w:rsidRPr="00254338" w:rsidRDefault="00F736F3" w:rsidP="00254338">
      <w:pPr>
        <w:pStyle w:val="ListParagraph"/>
        <w:numPr>
          <w:ilvl w:val="0"/>
          <w:numId w:val="14"/>
        </w:numPr>
        <w:rPr>
          <w:rStyle w:val="ListParagraphChar"/>
          <w:color w:val="auto"/>
        </w:rPr>
      </w:pPr>
      <w:r w:rsidRPr="00254338">
        <w:rPr>
          <w:rStyle w:val="ListParagraphChar"/>
          <w:color w:val="auto"/>
        </w:rPr>
        <w:t>While</w:t>
      </w:r>
      <w:r w:rsidR="00C76F52" w:rsidRPr="00254338">
        <w:rPr>
          <w:rStyle w:val="ListParagraphChar"/>
          <w:color w:val="auto"/>
        </w:rPr>
        <w:t xml:space="preserve"> Housing </w:t>
      </w:r>
      <w:proofErr w:type="gramStart"/>
      <w:r w:rsidR="00C76F52" w:rsidRPr="00254338">
        <w:rPr>
          <w:rStyle w:val="ListParagraphChar"/>
          <w:color w:val="auto"/>
        </w:rPr>
        <w:t xml:space="preserve">and </w:t>
      </w:r>
      <w:r w:rsidRPr="00254338">
        <w:rPr>
          <w:rStyle w:val="ListParagraphChar"/>
          <w:color w:val="auto"/>
        </w:rPr>
        <w:t xml:space="preserve"> Growth</w:t>
      </w:r>
      <w:proofErr w:type="gramEnd"/>
      <w:r w:rsidRPr="00254338">
        <w:rPr>
          <w:rStyle w:val="ListParagraphChar"/>
          <w:color w:val="auto"/>
        </w:rPr>
        <w:t xml:space="preserve"> Deal funding would not be accessible to the Council’s housing companies (as no company within the OCHL group holds Registered Provider status), this funding should be available under the scheme proposed, as the funding will be drawn down by the Council not to form part of the </w:t>
      </w:r>
      <w:r w:rsidR="00472C87" w:rsidRPr="00254338">
        <w:rPr>
          <w:rStyle w:val="ListParagraphChar"/>
          <w:color w:val="auto"/>
        </w:rPr>
        <w:t xml:space="preserve">property </w:t>
      </w:r>
      <w:r w:rsidRPr="00254338">
        <w:rPr>
          <w:rStyle w:val="ListParagraphChar"/>
          <w:color w:val="auto"/>
        </w:rPr>
        <w:t xml:space="preserve">development costs but to assist in the property purchase costs. </w:t>
      </w:r>
    </w:p>
    <w:p w:rsidR="002329CF" w:rsidRDefault="002329CF" w:rsidP="004A6D2F">
      <w:pPr>
        <w:pStyle w:val="Heading1"/>
      </w:pPr>
      <w:r w:rsidRPr="001356F1">
        <w:t>Level of risk</w:t>
      </w:r>
      <w:r w:rsidR="00F736F3">
        <w:t xml:space="preserve"> </w:t>
      </w:r>
    </w:p>
    <w:p w:rsidR="006C3AC1" w:rsidRPr="00254338" w:rsidRDefault="00F63A73" w:rsidP="00254338">
      <w:pPr>
        <w:pStyle w:val="ListParagraph"/>
        <w:numPr>
          <w:ilvl w:val="0"/>
          <w:numId w:val="14"/>
        </w:numPr>
        <w:rPr>
          <w:rStyle w:val="ListParagraphChar"/>
          <w:color w:val="auto"/>
        </w:rPr>
      </w:pPr>
      <w:r w:rsidRPr="00254338">
        <w:rPr>
          <w:rStyle w:val="ListParagraphChar"/>
          <w:color w:val="auto"/>
        </w:rPr>
        <w:t xml:space="preserve"> The</w:t>
      </w:r>
      <w:r w:rsidR="006C3AC1" w:rsidRPr="00254338">
        <w:rPr>
          <w:rStyle w:val="ListParagraphChar"/>
          <w:color w:val="auto"/>
        </w:rPr>
        <w:t xml:space="preserve"> changes to both the OCHL and HRA Business plans will be reflected in the associated risk registers of each entity and continued to be managed by the relevant Board for the companies and the Head of Housing and Head of Finance with respect to the HRA.</w:t>
      </w:r>
    </w:p>
    <w:p w:rsidR="002329CF" w:rsidRDefault="002329CF" w:rsidP="0050321C">
      <w:pPr>
        <w:pStyle w:val="Heading1"/>
      </w:pPr>
      <w:r w:rsidRPr="001356F1">
        <w:t xml:space="preserve">Equalities impact </w:t>
      </w:r>
    </w:p>
    <w:p w:rsidR="000656A3" w:rsidRPr="00254338" w:rsidRDefault="00254338" w:rsidP="00254338">
      <w:pPr>
        <w:pStyle w:val="ListParagraph"/>
        <w:numPr>
          <w:ilvl w:val="0"/>
          <w:numId w:val="14"/>
        </w:numPr>
        <w:rPr>
          <w:rStyle w:val="ListParagraphChar"/>
          <w:color w:val="auto"/>
        </w:rPr>
      </w:pPr>
      <w:r>
        <w:rPr>
          <w:rStyle w:val="ListParagraphChar"/>
          <w:color w:val="auto"/>
        </w:rPr>
        <w:t>T</w:t>
      </w:r>
      <w:r w:rsidR="000656A3" w:rsidRPr="00254338">
        <w:rPr>
          <w:rStyle w:val="ListParagraphChar"/>
          <w:color w:val="auto"/>
        </w:rPr>
        <w:t>he increase in affordable housing will have direct benefit for those in greatest housing need.</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t>.</w:t>
            </w: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C51838" w:rsidP="00C51838">
            <w:r>
              <w:t>Stephen Clarke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0656A3" w:rsidP="000656A3">
            <w:r>
              <w:t>Head of Housing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0656A3" w:rsidP="000656A3">
            <w:r>
              <w:t>Housing</w:t>
            </w:r>
          </w:p>
        </w:tc>
      </w:tr>
      <w:tr w:rsidR="00DF093E" w:rsidRPr="001356F1" w:rsidTr="00970334">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0656A3">
            <w:r w:rsidRPr="001356F1">
              <w:t xml:space="preserve">01865 </w:t>
            </w:r>
            <w:r w:rsidR="000656A3">
              <w:t>852447</w:t>
            </w:r>
            <w:r w:rsidRPr="001356F1">
              <w:t xml:space="preserve">  </w:t>
            </w:r>
          </w:p>
        </w:tc>
      </w:tr>
      <w:tr w:rsidR="005570B5" w:rsidRPr="001356F1" w:rsidTr="00970334">
        <w:trPr>
          <w:cantSplit/>
          <w:trHeight w:val="396"/>
        </w:trPr>
        <w:tc>
          <w:tcPr>
            <w:tcW w:w="3969" w:type="dxa"/>
            <w:tcBorders>
              <w:top w:val="nil"/>
              <w:left w:val="single" w:sz="8" w:space="0" w:color="000000"/>
              <w:bottom w:val="single" w:sz="4" w:space="0" w:color="auto"/>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4" w:space="0" w:color="auto"/>
              <w:right w:val="single" w:sz="8" w:space="0" w:color="000000"/>
            </w:tcBorders>
            <w:shd w:val="clear" w:color="auto" w:fill="auto"/>
          </w:tcPr>
          <w:p w:rsidR="00E87F7A" w:rsidRPr="001356F1" w:rsidRDefault="000656A3" w:rsidP="000656A3">
            <w:pPr>
              <w:rPr>
                <w:rStyle w:val="Hyperlink"/>
                <w:color w:val="000000"/>
              </w:rPr>
            </w:pPr>
            <w:r>
              <w:rPr>
                <w:rStyle w:val="Hyperlink"/>
                <w:color w:val="000000"/>
              </w:rPr>
              <w:t>sclarke@oxford.gov.uk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364"/>
      </w:tblGrid>
      <w:tr w:rsidR="00DF093E" w:rsidRPr="001356F1" w:rsidTr="00970334">
        <w:tc>
          <w:tcPr>
            <w:tcW w:w="9154"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0656A3">
            <w:r w:rsidRPr="001356F1">
              <w:rPr>
                <w:rStyle w:val="Firstpagetablebold"/>
              </w:rPr>
              <w:t>Background Papers:</w:t>
            </w:r>
          </w:p>
        </w:tc>
      </w:tr>
      <w:tr w:rsidR="00DF093E" w:rsidRPr="001356F1" w:rsidTr="00970334">
        <w:tc>
          <w:tcPr>
            <w:tcW w:w="790" w:type="dxa"/>
            <w:tcBorders>
              <w:top w:val="single" w:sz="8" w:space="0" w:color="000000"/>
              <w:left w:val="single" w:sz="8" w:space="0" w:color="000000"/>
              <w:bottom w:val="single" w:sz="4" w:space="0" w:color="auto"/>
              <w:right w:val="nil"/>
            </w:tcBorders>
            <w:shd w:val="clear" w:color="auto" w:fill="auto"/>
          </w:tcPr>
          <w:p w:rsidR="000656A3" w:rsidRPr="001356F1" w:rsidRDefault="000656A3" w:rsidP="00F41AC1">
            <w:r>
              <w:t>None</w:t>
            </w:r>
          </w:p>
        </w:tc>
        <w:tc>
          <w:tcPr>
            <w:tcW w:w="8364" w:type="dxa"/>
            <w:tcBorders>
              <w:top w:val="single" w:sz="8" w:space="0" w:color="000000"/>
              <w:left w:val="nil"/>
              <w:bottom w:val="single" w:sz="4" w:space="0" w:color="auto"/>
              <w:right w:val="single" w:sz="8" w:space="0" w:color="000000"/>
            </w:tcBorders>
          </w:tcPr>
          <w:p w:rsidR="0093067A" w:rsidRPr="001356F1" w:rsidRDefault="0093067A" w:rsidP="005D0621"/>
        </w:tc>
      </w:tr>
    </w:tbl>
    <w:p w:rsidR="00CE4C87" w:rsidRDefault="00CE4C87" w:rsidP="0093067A"/>
    <w:p w:rsidR="0054712D" w:rsidRDefault="0054712D" w:rsidP="0093067A"/>
    <w:p w:rsidR="004456DD" w:rsidRPr="009E51FC" w:rsidRDefault="004456DD" w:rsidP="0093067A"/>
    <w:sectPr w:rsidR="004456DD" w:rsidRPr="009E51FC" w:rsidSect="00BC200B">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FD" w:rsidRDefault="00FA46FD" w:rsidP="004A6D2F">
      <w:r>
        <w:separator/>
      </w:r>
    </w:p>
  </w:endnote>
  <w:endnote w:type="continuationSeparator" w:id="0">
    <w:p w:rsidR="00FA46FD" w:rsidRDefault="00FA46FD" w:rsidP="004A6D2F">
      <w:r>
        <w:continuationSeparator/>
      </w:r>
    </w:p>
  </w:endnote>
  <w:endnote w:type="continuationNotice" w:id="1">
    <w:p w:rsidR="00FA46FD" w:rsidRDefault="00FA4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8D" w:rsidRDefault="00D12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FD" w:rsidRDefault="00FA46FD" w:rsidP="004A6D2F">
      <w:r>
        <w:separator/>
      </w:r>
    </w:p>
  </w:footnote>
  <w:footnote w:type="continuationSeparator" w:id="0">
    <w:p w:rsidR="00FA46FD" w:rsidRDefault="00FA46FD" w:rsidP="004A6D2F">
      <w:r>
        <w:continuationSeparator/>
      </w:r>
    </w:p>
  </w:footnote>
  <w:footnote w:type="continuationNotice" w:id="1">
    <w:p w:rsidR="00FA46FD" w:rsidRDefault="00FA46F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8D" w:rsidRDefault="00D12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3F48CD" w:rsidP="00D5547E">
    <w:pPr>
      <w:pStyle w:val="Header"/>
      <w:jc w:val="right"/>
    </w:pPr>
    <w:r>
      <w:rPr>
        <w:noProof/>
      </w:rPr>
      <w:drawing>
        <wp:inline distT="0" distB="0" distL="0" distR="0" wp14:anchorId="0B605ED7" wp14:editId="0B23105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3F6620"/>
    <w:multiLevelType w:val="hybridMultilevel"/>
    <w:tmpl w:val="48F093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6631631"/>
    <w:multiLevelType w:val="hybridMultilevel"/>
    <w:tmpl w:val="2E68B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8B90C56"/>
    <w:multiLevelType w:val="hybridMultilevel"/>
    <w:tmpl w:val="A2226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ABD5345"/>
    <w:multiLevelType w:val="hybridMultilevel"/>
    <w:tmpl w:val="7C04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B35AFD"/>
    <w:multiLevelType w:val="singleLevel"/>
    <w:tmpl w:val="268C2AE2"/>
    <w:lvl w:ilvl="0">
      <w:start w:val="1"/>
      <w:numFmt w:val="decimal"/>
      <w:lvlText w:val="%1."/>
      <w:lvlJc w:val="left"/>
      <w:pPr>
        <w:ind w:left="720" w:hanging="360"/>
      </w:pPr>
      <w:rPr>
        <w:rFonts w:hint="default"/>
        <w:b w:val="0"/>
        <w:color w:val="000000"/>
        <w:sz w:val="24"/>
      </w:rPr>
    </w:lvl>
  </w:abstractNum>
  <w:abstractNum w:abstractNumId="26">
    <w:nsid w:val="315122F4"/>
    <w:multiLevelType w:val="hybridMultilevel"/>
    <w:tmpl w:val="5A866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D819DD"/>
    <w:multiLevelType w:val="hybridMultilevel"/>
    <w:tmpl w:val="CAAA5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1A75E9"/>
    <w:multiLevelType w:val="hybridMultilevel"/>
    <w:tmpl w:val="6EFAD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3EB1AFC"/>
    <w:multiLevelType w:val="hybridMultilevel"/>
    <w:tmpl w:val="52DC2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4D53E4"/>
    <w:multiLevelType w:val="hybridMultilevel"/>
    <w:tmpl w:val="57E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EC18F3"/>
    <w:multiLevelType w:val="hybridMultilevel"/>
    <w:tmpl w:val="A4C6D4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ABA5FD8"/>
    <w:multiLevelType w:val="multilevel"/>
    <w:tmpl w:val="43D6D2FA"/>
    <w:numStyleLink w:val="StyleBulletedSymbolsymbolLeft063cmHanging063cm"/>
  </w:abstractNum>
  <w:abstractNum w:abstractNumId="4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4142EC"/>
    <w:multiLevelType w:val="hybridMultilevel"/>
    <w:tmpl w:val="327C4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2256938"/>
    <w:multiLevelType w:val="hybridMultilevel"/>
    <w:tmpl w:val="CED2D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2A22831"/>
    <w:multiLevelType w:val="multilevel"/>
    <w:tmpl w:val="43D6D2FA"/>
    <w:numStyleLink w:val="StyleBulletedSymbolsymbolLeft063cmHanging063cm"/>
  </w:abstractNum>
  <w:abstractNum w:abstractNumId="4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45"/>
  </w:num>
  <w:num w:numId="3">
    <w:abstractNumId w:val="31"/>
  </w:num>
  <w:num w:numId="4">
    <w:abstractNumId w:val="24"/>
  </w:num>
  <w:num w:numId="5">
    <w:abstractNumId w:val="40"/>
  </w:num>
  <w:num w:numId="6">
    <w:abstractNumId w:val="46"/>
  </w:num>
  <w:num w:numId="7">
    <w:abstractNumId w:val="30"/>
  </w:num>
  <w:num w:numId="8">
    <w:abstractNumId w:val="28"/>
  </w:num>
  <w:num w:numId="9">
    <w:abstractNumId w:val="14"/>
  </w:num>
  <w:num w:numId="10">
    <w:abstractNumId w:val="18"/>
  </w:num>
  <w:num w:numId="11">
    <w:abstractNumId w:val="33"/>
  </w:num>
  <w:num w:numId="12">
    <w:abstractNumId w:val="32"/>
  </w:num>
  <w:num w:numId="13">
    <w:abstractNumId w:val="11"/>
  </w:num>
  <w:num w:numId="14">
    <w:abstractNumId w:val="25"/>
  </w:num>
  <w:num w:numId="15">
    <w:abstractNumId w:val="19"/>
  </w:num>
  <w:num w:numId="16">
    <w:abstractNumId w:val="12"/>
  </w:num>
  <w:num w:numId="17">
    <w:abstractNumId w:val="39"/>
  </w:num>
  <w:num w:numId="18">
    <w:abstractNumId w:val="13"/>
  </w:num>
  <w:num w:numId="19">
    <w:abstractNumId w:val="43"/>
  </w:num>
  <w:num w:numId="20">
    <w:abstractNumId w:val="20"/>
  </w:num>
  <w:num w:numId="21">
    <w:abstractNumId w:val="29"/>
  </w:num>
  <w:num w:numId="22">
    <w:abstractNumId w:val="15"/>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7"/>
  </w:num>
  <w:num w:numId="35">
    <w:abstractNumId w:val="26"/>
  </w:num>
  <w:num w:numId="36">
    <w:abstractNumId w:val="17"/>
  </w:num>
  <w:num w:numId="37">
    <w:abstractNumId w:val="22"/>
  </w:num>
  <w:num w:numId="38">
    <w:abstractNumId w:val="23"/>
  </w:num>
  <w:num w:numId="39">
    <w:abstractNumId w:val="34"/>
  </w:num>
  <w:num w:numId="40">
    <w:abstractNumId w:val="47"/>
  </w:num>
  <w:num w:numId="41">
    <w:abstractNumId w:val="35"/>
  </w:num>
  <w:num w:numId="42">
    <w:abstractNumId w:val="16"/>
  </w:num>
  <w:num w:numId="43">
    <w:abstractNumId w:val="38"/>
  </w:num>
  <w:num w:numId="44">
    <w:abstractNumId w:val="42"/>
  </w:num>
  <w:num w:numId="45">
    <w:abstractNumId w:val="10"/>
  </w:num>
  <w:num w:numId="46">
    <w:abstractNumId w:val="41"/>
  </w:num>
  <w:num w:numId="47">
    <w:abstractNumId w:val="21"/>
  </w:num>
  <w:num w:numId="48">
    <w:abstractNumId w:val="2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1E"/>
    <w:rsid w:val="000117D4"/>
    <w:rsid w:val="000314D7"/>
    <w:rsid w:val="0003380C"/>
    <w:rsid w:val="00045F8B"/>
    <w:rsid w:val="00046D2B"/>
    <w:rsid w:val="000516E3"/>
    <w:rsid w:val="00056263"/>
    <w:rsid w:val="00056C7C"/>
    <w:rsid w:val="00064D8A"/>
    <w:rsid w:val="00064F82"/>
    <w:rsid w:val="000656A3"/>
    <w:rsid w:val="00066510"/>
    <w:rsid w:val="00072EE1"/>
    <w:rsid w:val="00077523"/>
    <w:rsid w:val="00077E4A"/>
    <w:rsid w:val="00083D34"/>
    <w:rsid w:val="000A38F8"/>
    <w:rsid w:val="000B072A"/>
    <w:rsid w:val="000C089F"/>
    <w:rsid w:val="000C1BCA"/>
    <w:rsid w:val="000C23DF"/>
    <w:rsid w:val="000C3928"/>
    <w:rsid w:val="000C3A25"/>
    <w:rsid w:val="000C4856"/>
    <w:rsid w:val="000C5E8E"/>
    <w:rsid w:val="000D4274"/>
    <w:rsid w:val="000E2DF5"/>
    <w:rsid w:val="000F4751"/>
    <w:rsid w:val="00100A48"/>
    <w:rsid w:val="0010524C"/>
    <w:rsid w:val="00111FB1"/>
    <w:rsid w:val="00113418"/>
    <w:rsid w:val="00130CFC"/>
    <w:rsid w:val="00131703"/>
    <w:rsid w:val="001356F1"/>
    <w:rsid w:val="00136994"/>
    <w:rsid w:val="0014128E"/>
    <w:rsid w:val="00151888"/>
    <w:rsid w:val="00166E70"/>
    <w:rsid w:val="00170A2D"/>
    <w:rsid w:val="001808BC"/>
    <w:rsid w:val="00182B81"/>
    <w:rsid w:val="0018619D"/>
    <w:rsid w:val="0019088D"/>
    <w:rsid w:val="00196D34"/>
    <w:rsid w:val="001A011E"/>
    <w:rsid w:val="001A066A"/>
    <w:rsid w:val="001A0B1A"/>
    <w:rsid w:val="001A12B9"/>
    <w:rsid w:val="001A13E6"/>
    <w:rsid w:val="001A5731"/>
    <w:rsid w:val="001B42C3"/>
    <w:rsid w:val="001C2361"/>
    <w:rsid w:val="001C5D5E"/>
    <w:rsid w:val="001D678D"/>
    <w:rsid w:val="001E03F8"/>
    <w:rsid w:val="001E1678"/>
    <w:rsid w:val="001E3376"/>
    <w:rsid w:val="001F2490"/>
    <w:rsid w:val="001F67B9"/>
    <w:rsid w:val="002069B3"/>
    <w:rsid w:val="002329CF"/>
    <w:rsid w:val="00232F5B"/>
    <w:rsid w:val="00247C29"/>
    <w:rsid w:val="00253DDC"/>
    <w:rsid w:val="00254338"/>
    <w:rsid w:val="00260467"/>
    <w:rsid w:val="00263EA3"/>
    <w:rsid w:val="0027630D"/>
    <w:rsid w:val="00284F85"/>
    <w:rsid w:val="00290915"/>
    <w:rsid w:val="002A22E2"/>
    <w:rsid w:val="002B4040"/>
    <w:rsid w:val="002C29CA"/>
    <w:rsid w:val="002C64F7"/>
    <w:rsid w:val="002F41F2"/>
    <w:rsid w:val="00300AF2"/>
    <w:rsid w:val="00301BF3"/>
    <w:rsid w:val="0030208D"/>
    <w:rsid w:val="00323418"/>
    <w:rsid w:val="003357BF"/>
    <w:rsid w:val="00343FC0"/>
    <w:rsid w:val="00364FAD"/>
    <w:rsid w:val="0036738F"/>
    <w:rsid w:val="0036759C"/>
    <w:rsid w:val="00367AE5"/>
    <w:rsid w:val="00367D71"/>
    <w:rsid w:val="0038150A"/>
    <w:rsid w:val="0039446B"/>
    <w:rsid w:val="003B6E75"/>
    <w:rsid w:val="003B7DA1"/>
    <w:rsid w:val="003D0379"/>
    <w:rsid w:val="003D2574"/>
    <w:rsid w:val="003D3278"/>
    <w:rsid w:val="003D4C59"/>
    <w:rsid w:val="003F4267"/>
    <w:rsid w:val="003F48CD"/>
    <w:rsid w:val="00404032"/>
    <w:rsid w:val="0040736F"/>
    <w:rsid w:val="00412C1F"/>
    <w:rsid w:val="00421CB2"/>
    <w:rsid w:val="004268B9"/>
    <w:rsid w:val="00433B96"/>
    <w:rsid w:val="004351D6"/>
    <w:rsid w:val="004440F1"/>
    <w:rsid w:val="004455D2"/>
    <w:rsid w:val="004456DD"/>
    <w:rsid w:val="00446CDF"/>
    <w:rsid w:val="004521B7"/>
    <w:rsid w:val="00462AB5"/>
    <w:rsid w:val="00465EAF"/>
    <w:rsid w:val="00472C87"/>
    <w:rsid w:val="00473395"/>
    <w:rsid w:val="004738C5"/>
    <w:rsid w:val="004822A0"/>
    <w:rsid w:val="00490D93"/>
    <w:rsid w:val="00491046"/>
    <w:rsid w:val="004A2AC7"/>
    <w:rsid w:val="004A6D2F"/>
    <w:rsid w:val="004C2887"/>
    <w:rsid w:val="004C6192"/>
    <w:rsid w:val="004D2626"/>
    <w:rsid w:val="004D6E26"/>
    <w:rsid w:val="004D77D3"/>
    <w:rsid w:val="004E1F1B"/>
    <w:rsid w:val="004E2959"/>
    <w:rsid w:val="004F20EF"/>
    <w:rsid w:val="004F719F"/>
    <w:rsid w:val="004F7560"/>
    <w:rsid w:val="0050321C"/>
    <w:rsid w:val="005144F3"/>
    <w:rsid w:val="0054712D"/>
    <w:rsid w:val="00547EF6"/>
    <w:rsid w:val="005570B5"/>
    <w:rsid w:val="00567E18"/>
    <w:rsid w:val="0057332A"/>
    <w:rsid w:val="00575F5F"/>
    <w:rsid w:val="00581805"/>
    <w:rsid w:val="00585F76"/>
    <w:rsid w:val="005A34E4"/>
    <w:rsid w:val="005A4232"/>
    <w:rsid w:val="005B17F2"/>
    <w:rsid w:val="005B18C1"/>
    <w:rsid w:val="005B60D5"/>
    <w:rsid w:val="005B7FB0"/>
    <w:rsid w:val="005C3220"/>
    <w:rsid w:val="005C35A5"/>
    <w:rsid w:val="005C577C"/>
    <w:rsid w:val="005D0621"/>
    <w:rsid w:val="005D1E27"/>
    <w:rsid w:val="005D2A3E"/>
    <w:rsid w:val="005E022E"/>
    <w:rsid w:val="005E5215"/>
    <w:rsid w:val="005F458C"/>
    <w:rsid w:val="005F7F7E"/>
    <w:rsid w:val="0060053C"/>
    <w:rsid w:val="00614693"/>
    <w:rsid w:val="00623C2F"/>
    <w:rsid w:val="00633578"/>
    <w:rsid w:val="00637068"/>
    <w:rsid w:val="00650811"/>
    <w:rsid w:val="00655FCD"/>
    <w:rsid w:val="00661D3E"/>
    <w:rsid w:val="0067771E"/>
    <w:rsid w:val="006824D1"/>
    <w:rsid w:val="006848BE"/>
    <w:rsid w:val="00692627"/>
    <w:rsid w:val="006969E7"/>
    <w:rsid w:val="006A3643"/>
    <w:rsid w:val="006A4F90"/>
    <w:rsid w:val="006A60A1"/>
    <w:rsid w:val="006C2A29"/>
    <w:rsid w:val="006C3AC1"/>
    <w:rsid w:val="006C64CF"/>
    <w:rsid w:val="006C7D1E"/>
    <w:rsid w:val="006D17B1"/>
    <w:rsid w:val="006D4752"/>
    <w:rsid w:val="006D708A"/>
    <w:rsid w:val="006E14C1"/>
    <w:rsid w:val="006F0292"/>
    <w:rsid w:val="006F27FA"/>
    <w:rsid w:val="006F416B"/>
    <w:rsid w:val="006F519B"/>
    <w:rsid w:val="00704D06"/>
    <w:rsid w:val="00713675"/>
    <w:rsid w:val="00715823"/>
    <w:rsid w:val="00737B93"/>
    <w:rsid w:val="00745BF0"/>
    <w:rsid w:val="007615FE"/>
    <w:rsid w:val="00763D25"/>
    <w:rsid w:val="0076655C"/>
    <w:rsid w:val="007742DC"/>
    <w:rsid w:val="007755D0"/>
    <w:rsid w:val="00777675"/>
    <w:rsid w:val="00791437"/>
    <w:rsid w:val="00793CF6"/>
    <w:rsid w:val="007B0C2C"/>
    <w:rsid w:val="007B278E"/>
    <w:rsid w:val="007C5C23"/>
    <w:rsid w:val="007D49DD"/>
    <w:rsid w:val="007E2A26"/>
    <w:rsid w:val="007F2348"/>
    <w:rsid w:val="00803F07"/>
    <w:rsid w:val="0080749A"/>
    <w:rsid w:val="00821FB8"/>
    <w:rsid w:val="00822ACD"/>
    <w:rsid w:val="0085281A"/>
    <w:rsid w:val="00855C66"/>
    <w:rsid w:val="00856FD4"/>
    <w:rsid w:val="00857945"/>
    <w:rsid w:val="00866BEE"/>
    <w:rsid w:val="00871EE4"/>
    <w:rsid w:val="008A22B7"/>
    <w:rsid w:val="008B069D"/>
    <w:rsid w:val="008B0D94"/>
    <w:rsid w:val="008B293F"/>
    <w:rsid w:val="008B7371"/>
    <w:rsid w:val="008D3DDB"/>
    <w:rsid w:val="008F477B"/>
    <w:rsid w:val="008F573F"/>
    <w:rsid w:val="00901A9B"/>
    <w:rsid w:val="009034EC"/>
    <w:rsid w:val="009041B2"/>
    <w:rsid w:val="00920E97"/>
    <w:rsid w:val="0092717A"/>
    <w:rsid w:val="0093067A"/>
    <w:rsid w:val="0093262B"/>
    <w:rsid w:val="00936B25"/>
    <w:rsid w:val="00941C60"/>
    <w:rsid w:val="00944C1E"/>
    <w:rsid w:val="00957984"/>
    <w:rsid w:val="00966D42"/>
    <w:rsid w:val="00970334"/>
    <w:rsid w:val="00971689"/>
    <w:rsid w:val="00973E90"/>
    <w:rsid w:val="00975B07"/>
    <w:rsid w:val="00980B4A"/>
    <w:rsid w:val="009E3D0A"/>
    <w:rsid w:val="009E51FC"/>
    <w:rsid w:val="009F1D28"/>
    <w:rsid w:val="009F7618"/>
    <w:rsid w:val="00A04D23"/>
    <w:rsid w:val="00A06766"/>
    <w:rsid w:val="00A06AD1"/>
    <w:rsid w:val="00A13765"/>
    <w:rsid w:val="00A21B12"/>
    <w:rsid w:val="00A23F80"/>
    <w:rsid w:val="00A33C68"/>
    <w:rsid w:val="00A46E98"/>
    <w:rsid w:val="00A514BC"/>
    <w:rsid w:val="00A51709"/>
    <w:rsid w:val="00A6352B"/>
    <w:rsid w:val="00A701B5"/>
    <w:rsid w:val="00A714BB"/>
    <w:rsid w:val="00A82508"/>
    <w:rsid w:val="00A8260F"/>
    <w:rsid w:val="00A92765"/>
    <w:rsid w:val="00A92D8F"/>
    <w:rsid w:val="00AA0594"/>
    <w:rsid w:val="00AB2988"/>
    <w:rsid w:val="00AB68A4"/>
    <w:rsid w:val="00AB7999"/>
    <w:rsid w:val="00AD3292"/>
    <w:rsid w:val="00AD42A0"/>
    <w:rsid w:val="00AE7AF0"/>
    <w:rsid w:val="00B11586"/>
    <w:rsid w:val="00B500CA"/>
    <w:rsid w:val="00B54844"/>
    <w:rsid w:val="00B6373F"/>
    <w:rsid w:val="00B82FDD"/>
    <w:rsid w:val="00B86314"/>
    <w:rsid w:val="00BA1C2E"/>
    <w:rsid w:val="00BC200B"/>
    <w:rsid w:val="00BC4756"/>
    <w:rsid w:val="00BC69A4"/>
    <w:rsid w:val="00BE0680"/>
    <w:rsid w:val="00BE305F"/>
    <w:rsid w:val="00BE7BA3"/>
    <w:rsid w:val="00BF5682"/>
    <w:rsid w:val="00BF7B09"/>
    <w:rsid w:val="00C1371B"/>
    <w:rsid w:val="00C16922"/>
    <w:rsid w:val="00C20A95"/>
    <w:rsid w:val="00C22D21"/>
    <w:rsid w:val="00C2692F"/>
    <w:rsid w:val="00C3207C"/>
    <w:rsid w:val="00C400E1"/>
    <w:rsid w:val="00C41187"/>
    <w:rsid w:val="00C51838"/>
    <w:rsid w:val="00C553A6"/>
    <w:rsid w:val="00C5548D"/>
    <w:rsid w:val="00C63C31"/>
    <w:rsid w:val="00C757A0"/>
    <w:rsid w:val="00C760DE"/>
    <w:rsid w:val="00C76F52"/>
    <w:rsid w:val="00C82630"/>
    <w:rsid w:val="00C85B4E"/>
    <w:rsid w:val="00C907F7"/>
    <w:rsid w:val="00C95169"/>
    <w:rsid w:val="00CA2103"/>
    <w:rsid w:val="00CA6FC0"/>
    <w:rsid w:val="00CB6B99"/>
    <w:rsid w:val="00CC1A53"/>
    <w:rsid w:val="00CE3E15"/>
    <w:rsid w:val="00CE4C87"/>
    <w:rsid w:val="00CE544A"/>
    <w:rsid w:val="00D11E1C"/>
    <w:rsid w:val="00D12F8D"/>
    <w:rsid w:val="00D160B0"/>
    <w:rsid w:val="00D17F94"/>
    <w:rsid w:val="00D223FC"/>
    <w:rsid w:val="00D26D1E"/>
    <w:rsid w:val="00D474CF"/>
    <w:rsid w:val="00D5547E"/>
    <w:rsid w:val="00D813E3"/>
    <w:rsid w:val="00D85F35"/>
    <w:rsid w:val="00D869A1"/>
    <w:rsid w:val="00DA413F"/>
    <w:rsid w:val="00DA4584"/>
    <w:rsid w:val="00DA614B"/>
    <w:rsid w:val="00DC3060"/>
    <w:rsid w:val="00DD74EB"/>
    <w:rsid w:val="00DE0FB2"/>
    <w:rsid w:val="00DE5C36"/>
    <w:rsid w:val="00DF093E"/>
    <w:rsid w:val="00E01F42"/>
    <w:rsid w:val="00E0296A"/>
    <w:rsid w:val="00E206D6"/>
    <w:rsid w:val="00E3366E"/>
    <w:rsid w:val="00E36CE3"/>
    <w:rsid w:val="00E52086"/>
    <w:rsid w:val="00E543A6"/>
    <w:rsid w:val="00E5658F"/>
    <w:rsid w:val="00E60479"/>
    <w:rsid w:val="00E61D73"/>
    <w:rsid w:val="00E73684"/>
    <w:rsid w:val="00E818D6"/>
    <w:rsid w:val="00E87F7A"/>
    <w:rsid w:val="00E96BD7"/>
    <w:rsid w:val="00EA008E"/>
    <w:rsid w:val="00EA0DB1"/>
    <w:rsid w:val="00EA0EE9"/>
    <w:rsid w:val="00EC38B4"/>
    <w:rsid w:val="00EC47A8"/>
    <w:rsid w:val="00ED0000"/>
    <w:rsid w:val="00ED52CA"/>
    <w:rsid w:val="00ED5860"/>
    <w:rsid w:val="00EE35C9"/>
    <w:rsid w:val="00EE72E5"/>
    <w:rsid w:val="00F0340E"/>
    <w:rsid w:val="00F05ECA"/>
    <w:rsid w:val="00F3566E"/>
    <w:rsid w:val="00F35E2C"/>
    <w:rsid w:val="00F375FB"/>
    <w:rsid w:val="00F41AC1"/>
    <w:rsid w:val="00F4367A"/>
    <w:rsid w:val="00F445B1"/>
    <w:rsid w:val="00F45CD4"/>
    <w:rsid w:val="00F63A73"/>
    <w:rsid w:val="00F66DCA"/>
    <w:rsid w:val="00F736F3"/>
    <w:rsid w:val="00F74F53"/>
    <w:rsid w:val="00F7606D"/>
    <w:rsid w:val="00F77C1D"/>
    <w:rsid w:val="00F8047B"/>
    <w:rsid w:val="00F81670"/>
    <w:rsid w:val="00F82024"/>
    <w:rsid w:val="00F95BC9"/>
    <w:rsid w:val="00FA46FD"/>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8528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852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7966373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7245-F53A-4ACF-ADCC-A8C17272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12FCFC7A</Template>
  <TotalTime>1</TotalTime>
  <Pages>11</Pages>
  <Words>3922</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JMitchell</cp:lastModifiedBy>
  <cp:revision>3</cp:revision>
  <cp:lastPrinted>2015-07-03T13:50:00Z</cp:lastPrinted>
  <dcterms:created xsi:type="dcterms:W3CDTF">2019-05-21T13:45:00Z</dcterms:created>
  <dcterms:modified xsi:type="dcterms:W3CDTF">2019-05-21T14:03:00Z</dcterms:modified>
</cp:coreProperties>
</file>